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BDB" w14:textId="77777777" w:rsidR="00414FE9" w:rsidRDefault="00414FE9" w:rsidP="0033427D">
      <w:pPr>
        <w:pStyle w:val="Overskrift1"/>
      </w:pPr>
    </w:p>
    <w:p w14:paraId="63FDE393" w14:textId="63F73027" w:rsidR="000954D3" w:rsidRDefault="00B67DDF" w:rsidP="000954D3">
      <w:pPr>
        <w:jc w:val="center"/>
        <w:rPr>
          <w:b/>
          <w:bCs/>
          <w:color w:val="00B050"/>
          <w:sz w:val="32"/>
          <w:szCs w:val="32"/>
        </w:rPr>
      </w:pPr>
      <w:r w:rsidRPr="000E4435">
        <w:rPr>
          <w:b/>
          <w:bCs/>
          <w:color w:val="00B050"/>
          <w:sz w:val="32"/>
          <w:szCs w:val="32"/>
        </w:rPr>
        <w:t>VÆRKSTEDE</w:t>
      </w:r>
      <w:r>
        <w:rPr>
          <w:b/>
          <w:bCs/>
          <w:color w:val="00B050"/>
          <w:sz w:val="32"/>
          <w:szCs w:val="32"/>
        </w:rPr>
        <w:t>T</w:t>
      </w:r>
      <w:r w:rsidRPr="000E4435">
        <w:rPr>
          <w:b/>
          <w:bCs/>
          <w:color w:val="00B050"/>
          <w:sz w:val="32"/>
          <w:szCs w:val="32"/>
        </w:rPr>
        <w:t xml:space="preserve"> I </w:t>
      </w:r>
      <w:r w:rsidR="00CA77EA">
        <w:rPr>
          <w:b/>
          <w:bCs/>
          <w:color w:val="00B050"/>
          <w:sz w:val="32"/>
          <w:szCs w:val="32"/>
        </w:rPr>
        <w:t>TØNDER</w:t>
      </w:r>
    </w:p>
    <w:p w14:paraId="5F00B99C" w14:textId="79750DF6" w:rsidR="00B67DDF" w:rsidRPr="000E4435" w:rsidRDefault="00B67DDF" w:rsidP="00B67DDF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REGION SØNDERJYLLAND </w:t>
      </w:r>
      <w:r w:rsidRPr="000E4435">
        <w:rPr>
          <w:b/>
          <w:bCs/>
          <w:color w:val="00B050"/>
          <w:sz w:val="32"/>
          <w:szCs w:val="32"/>
        </w:rPr>
        <w:t xml:space="preserve">APV </w:t>
      </w:r>
      <w:r>
        <w:rPr>
          <w:b/>
          <w:bCs/>
          <w:color w:val="00B050"/>
          <w:sz w:val="32"/>
          <w:szCs w:val="32"/>
        </w:rPr>
        <w:t xml:space="preserve">D. </w:t>
      </w:r>
      <w:r w:rsidR="008737B4">
        <w:rPr>
          <w:b/>
          <w:bCs/>
          <w:color w:val="00B050"/>
          <w:sz w:val="32"/>
          <w:szCs w:val="32"/>
        </w:rPr>
        <w:t>9/6</w:t>
      </w:r>
      <w:r w:rsidR="00232AEB">
        <w:rPr>
          <w:b/>
          <w:bCs/>
          <w:color w:val="00B050"/>
          <w:sz w:val="32"/>
          <w:szCs w:val="32"/>
        </w:rPr>
        <w:t xml:space="preserve"> 2020</w:t>
      </w:r>
      <w:r>
        <w:rPr>
          <w:b/>
          <w:bCs/>
          <w:color w:val="00B050"/>
          <w:sz w:val="32"/>
          <w:szCs w:val="32"/>
        </w:rPr>
        <w:t xml:space="preserve"> </w:t>
      </w:r>
    </w:p>
    <w:p w14:paraId="2AA18268" w14:textId="77777777" w:rsidR="0033427D" w:rsidRDefault="0033427D" w:rsidP="0033427D"/>
    <w:p w14:paraId="5C667C5A" w14:textId="4B01A227" w:rsidR="008F0AF3" w:rsidRPr="00FA7BAE" w:rsidRDefault="009818F3" w:rsidP="00B423FC">
      <w:pPr>
        <w:jc w:val="center"/>
        <w:rPr>
          <w:sz w:val="28"/>
        </w:rPr>
      </w:pPr>
      <w:r w:rsidRPr="00FA7BAE">
        <w:rPr>
          <w:sz w:val="28"/>
        </w:rPr>
        <w:t>Oversigt og handleplaner er udarbejdet på baggrund af de APVskemaer</w:t>
      </w:r>
      <w:r w:rsidR="00F136A7">
        <w:rPr>
          <w:sz w:val="28"/>
        </w:rPr>
        <w:t xml:space="preserve"> </w:t>
      </w:r>
      <w:r w:rsidR="00103188">
        <w:rPr>
          <w:sz w:val="28"/>
        </w:rPr>
        <w:t xml:space="preserve">alle afdelinger har udfyldt. APVen er suppleret med en gennemgang af alle afdelinger </w:t>
      </w:r>
    </w:p>
    <w:p w14:paraId="62BD73EA" w14:textId="77777777" w:rsidR="009818F3" w:rsidRDefault="009818F3" w:rsidP="0033427D"/>
    <w:p w14:paraId="1914D571" w14:textId="77777777" w:rsidR="003035F8" w:rsidRPr="00F17230" w:rsidRDefault="003035F8" w:rsidP="003035F8">
      <w:pPr>
        <w:jc w:val="center"/>
        <w:rPr>
          <w:rFonts w:ascii="Arial" w:hAnsi="Arial" w:cs="Arial"/>
          <w:b/>
          <w:color w:val="00B050"/>
          <w:sz w:val="36"/>
        </w:rPr>
      </w:pPr>
      <w:r w:rsidRPr="00F17230">
        <w:rPr>
          <w:rFonts w:ascii="Arial" w:hAnsi="Arial" w:cs="Arial"/>
          <w:b/>
          <w:color w:val="00B050"/>
          <w:sz w:val="36"/>
        </w:rPr>
        <w:t>RISIKOVURDERING</w:t>
      </w:r>
    </w:p>
    <w:tbl>
      <w:tblPr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88"/>
        <w:gridCol w:w="284"/>
        <w:gridCol w:w="1559"/>
        <w:gridCol w:w="1050"/>
        <w:gridCol w:w="605"/>
        <w:gridCol w:w="482"/>
        <w:gridCol w:w="1123"/>
        <w:gridCol w:w="1003"/>
        <w:gridCol w:w="2410"/>
      </w:tblGrid>
      <w:tr w:rsidR="003035F8" w:rsidRPr="004E2863" w14:paraId="5EFA0D27" w14:textId="77777777" w:rsidTr="00EA3C0A">
        <w:tc>
          <w:tcPr>
            <w:tcW w:w="381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4D0613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73" w:type="dxa"/>
            <w:gridSpan w:val="6"/>
            <w:tcBorders>
              <w:left w:val="single" w:sz="18" w:space="0" w:color="auto"/>
            </w:tcBorders>
          </w:tcPr>
          <w:p w14:paraId="58EEDF51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1DF7">
              <w:rPr>
                <w:rFonts w:ascii="Arial" w:hAnsi="Arial" w:cs="Arial"/>
                <w:b/>
                <w:sz w:val="20"/>
                <w:szCs w:val="18"/>
              </w:rPr>
              <w:t>KONSEKVENS (K) skadens alvorlighed</w:t>
            </w:r>
          </w:p>
        </w:tc>
      </w:tr>
      <w:tr w:rsidR="003035F8" w:rsidRPr="004E2863" w14:paraId="4B8F9449" w14:textId="77777777" w:rsidTr="00EA3C0A">
        <w:tc>
          <w:tcPr>
            <w:tcW w:w="381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76C22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EA3C0A">
              <w:rPr>
                <w:rFonts w:ascii="Arial" w:hAnsi="Arial" w:cs="Arial"/>
                <w:b/>
                <w:color w:val="00B050"/>
                <w:sz w:val="32"/>
                <w:szCs w:val="18"/>
              </w:rPr>
              <w:t>RISIKOVURDERING</w:t>
            </w:r>
          </w:p>
        </w:tc>
        <w:tc>
          <w:tcPr>
            <w:tcW w:w="2137" w:type="dxa"/>
            <w:gridSpan w:val="3"/>
            <w:tcBorders>
              <w:left w:val="single" w:sz="18" w:space="0" w:color="auto"/>
            </w:tcBorders>
          </w:tcPr>
          <w:p w14:paraId="185C1B76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1 </w:t>
            </w:r>
          </w:p>
          <w:p w14:paraId="20963FCE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Ingen / minimal skade</w:t>
            </w:r>
          </w:p>
        </w:tc>
        <w:tc>
          <w:tcPr>
            <w:tcW w:w="2126" w:type="dxa"/>
            <w:gridSpan w:val="2"/>
          </w:tcPr>
          <w:p w14:paraId="3F1A95AE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  <w:p w14:paraId="79ED17DD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Mærkbar skade</w:t>
            </w:r>
          </w:p>
        </w:tc>
        <w:tc>
          <w:tcPr>
            <w:tcW w:w="2410" w:type="dxa"/>
          </w:tcPr>
          <w:p w14:paraId="17B96975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3</w:t>
            </w:r>
          </w:p>
          <w:p w14:paraId="3F0F5DD5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Alvorlig skade</w:t>
            </w:r>
          </w:p>
        </w:tc>
      </w:tr>
      <w:tr w:rsidR="003035F8" w:rsidRPr="004E2863" w14:paraId="7199E469" w14:textId="77777777" w:rsidTr="00EA3C0A">
        <w:tc>
          <w:tcPr>
            <w:tcW w:w="1974" w:type="dxa"/>
            <w:gridSpan w:val="2"/>
            <w:vMerge w:val="restart"/>
            <w:tcBorders>
              <w:top w:val="single" w:sz="18" w:space="0" w:color="auto"/>
            </w:tcBorders>
          </w:tcPr>
          <w:p w14:paraId="5E38A18A" w14:textId="77777777" w:rsidR="003035F8" w:rsidRDefault="003035F8" w:rsidP="00FC7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A0FFD" w14:textId="77777777" w:rsidR="003035F8" w:rsidRDefault="003035F8" w:rsidP="00FC7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64231E" w14:textId="77777777" w:rsidR="003035F8" w:rsidRPr="004E2863" w:rsidRDefault="003035F8" w:rsidP="00FC7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1DF7">
              <w:rPr>
                <w:rFonts w:ascii="Arial" w:hAnsi="Arial" w:cs="Arial"/>
                <w:b/>
                <w:sz w:val="20"/>
                <w:szCs w:val="18"/>
              </w:rPr>
              <w:t>SANDSYNLIGHED (S) for at komme til skade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14:paraId="4EA4174E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  <w:p w14:paraId="081EEA46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LILLE</w:t>
            </w:r>
          </w:p>
          <w:p w14:paraId="250E383A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SANDSYNLIGHED</w:t>
            </w:r>
          </w:p>
        </w:tc>
        <w:tc>
          <w:tcPr>
            <w:tcW w:w="2137" w:type="dxa"/>
            <w:gridSpan w:val="3"/>
            <w:shd w:val="clear" w:color="auto" w:fill="00B050"/>
          </w:tcPr>
          <w:p w14:paraId="2D8FD6C6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1</w:t>
            </w:r>
          </w:p>
          <w:p w14:paraId="022F2B45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Helt ubetydelig risiko</w:t>
            </w:r>
          </w:p>
        </w:tc>
        <w:tc>
          <w:tcPr>
            <w:tcW w:w="2126" w:type="dxa"/>
            <w:gridSpan w:val="2"/>
            <w:shd w:val="clear" w:color="auto" w:fill="00B050"/>
          </w:tcPr>
          <w:p w14:paraId="669BB887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</w:p>
          <w:p w14:paraId="7F02F14D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Ubetydelig risiko</w:t>
            </w:r>
          </w:p>
        </w:tc>
        <w:tc>
          <w:tcPr>
            <w:tcW w:w="2410" w:type="dxa"/>
            <w:shd w:val="clear" w:color="auto" w:fill="FFFF00"/>
          </w:tcPr>
          <w:p w14:paraId="2EF01B26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8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C4E442A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863">
              <w:rPr>
                <w:rFonts w:ascii="Arial" w:hAnsi="Arial" w:cs="Arial"/>
                <w:b/>
                <w:sz w:val="18"/>
                <w:szCs w:val="18"/>
              </w:rPr>
              <w:t>Moderat risiko</w:t>
            </w:r>
          </w:p>
        </w:tc>
      </w:tr>
      <w:tr w:rsidR="003035F8" w:rsidRPr="004E2863" w14:paraId="4F33E2AD" w14:textId="77777777" w:rsidTr="00EA3C0A">
        <w:tc>
          <w:tcPr>
            <w:tcW w:w="1974" w:type="dxa"/>
            <w:gridSpan w:val="2"/>
            <w:vMerge/>
          </w:tcPr>
          <w:p w14:paraId="37DC723A" w14:textId="77777777" w:rsidR="003035F8" w:rsidRPr="004E2863" w:rsidRDefault="003035F8" w:rsidP="00FC7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F16EC12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2 </w:t>
            </w:r>
          </w:p>
          <w:p w14:paraId="4D6B2F94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MELLEM</w:t>
            </w:r>
          </w:p>
          <w:p w14:paraId="240D0DB8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SANDSYNLIGHED</w:t>
            </w:r>
          </w:p>
        </w:tc>
        <w:tc>
          <w:tcPr>
            <w:tcW w:w="2137" w:type="dxa"/>
            <w:gridSpan w:val="3"/>
            <w:shd w:val="clear" w:color="auto" w:fill="00B050"/>
          </w:tcPr>
          <w:p w14:paraId="23D4143A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</w:p>
          <w:p w14:paraId="1A18BA62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Ubetydelig risiko</w:t>
            </w:r>
          </w:p>
          <w:p w14:paraId="41B2F5C0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00"/>
          </w:tcPr>
          <w:p w14:paraId="098AB0C7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86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28AC7698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863">
              <w:rPr>
                <w:rFonts w:ascii="Arial" w:hAnsi="Arial" w:cs="Arial"/>
                <w:b/>
                <w:sz w:val="18"/>
                <w:szCs w:val="18"/>
              </w:rPr>
              <w:t>Moderat risiko</w:t>
            </w:r>
          </w:p>
        </w:tc>
        <w:tc>
          <w:tcPr>
            <w:tcW w:w="2410" w:type="dxa"/>
            <w:shd w:val="clear" w:color="auto" w:fill="FF0000"/>
          </w:tcPr>
          <w:p w14:paraId="7B4E76D0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6</w:t>
            </w:r>
          </w:p>
          <w:p w14:paraId="0C31025A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Betydelig risiko</w:t>
            </w:r>
          </w:p>
        </w:tc>
      </w:tr>
      <w:tr w:rsidR="003035F8" w:rsidRPr="004E2863" w14:paraId="21C56BFC" w14:textId="77777777" w:rsidTr="00EA3C0A">
        <w:tc>
          <w:tcPr>
            <w:tcW w:w="1974" w:type="dxa"/>
            <w:gridSpan w:val="2"/>
            <w:vMerge/>
          </w:tcPr>
          <w:p w14:paraId="148BF897" w14:textId="77777777" w:rsidR="003035F8" w:rsidRPr="004E2863" w:rsidRDefault="003035F8" w:rsidP="00FC7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8CC885A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3</w:t>
            </w:r>
          </w:p>
          <w:p w14:paraId="3997DA2F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STOR</w:t>
            </w:r>
          </w:p>
          <w:p w14:paraId="119A0FB9" w14:textId="77777777" w:rsidR="003035F8" w:rsidRPr="00EA3C0A" w:rsidRDefault="003035F8" w:rsidP="00FC78F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A3C0A">
              <w:rPr>
                <w:rFonts w:ascii="Arial" w:hAnsi="Arial" w:cs="Arial"/>
                <w:b/>
                <w:color w:val="00B050"/>
                <w:sz w:val="18"/>
                <w:szCs w:val="18"/>
              </w:rPr>
              <w:t>SANDSYNLIGHED</w:t>
            </w:r>
          </w:p>
        </w:tc>
        <w:tc>
          <w:tcPr>
            <w:tcW w:w="2137" w:type="dxa"/>
            <w:gridSpan w:val="3"/>
            <w:shd w:val="clear" w:color="auto" w:fill="FFFF00"/>
          </w:tcPr>
          <w:p w14:paraId="5E59ED18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8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AE99719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4E2863">
              <w:rPr>
                <w:rFonts w:ascii="Arial" w:hAnsi="Arial" w:cs="Arial"/>
                <w:b/>
                <w:sz w:val="18"/>
                <w:szCs w:val="18"/>
              </w:rPr>
              <w:t>Moderat risiko</w:t>
            </w:r>
          </w:p>
        </w:tc>
        <w:tc>
          <w:tcPr>
            <w:tcW w:w="2126" w:type="dxa"/>
            <w:gridSpan w:val="2"/>
            <w:shd w:val="clear" w:color="auto" w:fill="FF0000"/>
          </w:tcPr>
          <w:p w14:paraId="2E566AB5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6</w:t>
            </w:r>
          </w:p>
          <w:p w14:paraId="44486650" w14:textId="77777777" w:rsidR="003035F8" w:rsidRPr="004E2863" w:rsidRDefault="003035F8" w:rsidP="00FC7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Betydelig risiko</w:t>
            </w:r>
          </w:p>
        </w:tc>
        <w:tc>
          <w:tcPr>
            <w:tcW w:w="2410" w:type="dxa"/>
            <w:shd w:val="clear" w:color="auto" w:fill="FF0000"/>
          </w:tcPr>
          <w:p w14:paraId="2889EC9F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9</w:t>
            </w:r>
          </w:p>
          <w:p w14:paraId="4E475645" w14:textId="77777777" w:rsidR="003035F8" w:rsidRPr="00ED0F5A" w:rsidRDefault="003035F8" w:rsidP="00FC78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F5A">
              <w:rPr>
                <w:rFonts w:ascii="Arial" w:hAnsi="Arial" w:cs="Arial"/>
                <w:b/>
                <w:color w:val="FFFFFF"/>
                <w:sz w:val="18"/>
                <w:szCs w:val="18"/>
              </w:rPr>
              <w:t>Ekstrem risiko</w:t>
            </w:r>
          </w:p>
        </w:tc>
      </w:tr>
      <w:bookmarkEnd w:id="0"/>
      <w:bookmarkEnd w:id="1"/>
      <w:tr w:rsidR="003035F8" w:rsidRPr="00A25403" w14:paraId="60B1D06F" w14:textId="77777777" w:rsidTr="00EA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CC7100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SANDSYNLIGHED</w:t>
            </w:r>
          </w:p>
        </w:tc>
        <w:tc>
          <w:tcPr>
            <w:tcW w:w="26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717C74C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FORKLARING</w:t>
            </w:r>
          </w:p>
        </w:tc>
        <w:tc>
          <w:tcPr>
            <w:tcW w:w="2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6456E3A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KONSEKVENS</w:t>
            </w:r>
          </w:p>
        </w:tc>
        <w:tc>
          <w:tcPr>
            <w:tcW w:w="341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0A262B7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FORKLARING</w:t>
            </w:r>
          </w:p>
        </w:tc>
      </w:tr>
      <w:tr w:rsidR="003035F8" w:rsidRPr="00A25403" w14:paraId="10C1BADC" w14:textId="77777777" w:rsidTr="00EA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" w:type="dxa"/>
            <w:tcBorders>
              <w:left w:val="single" w:sz="18" w:space="0" w:color="auto"/>
            </w:tcBorders>
          </w:tcPr>
          <w:p w14:paraId="209616E1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572" w:type="dxa"/>
            <w:gridSpan w:val="2"/>
          </w:tcPr>
          <w:p w14:paraId="38F88670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LILLE SANDSYN</w:t>
            </w:r>
            <w:r>
              <w:rPr>
                <w:rFonts w:ascii="Arial" w:hAnsi="Arial" w:cs="Arial"/>
                <w:b/>
                <w:sz w:val="22"/>
              </w:rPr>
              <w:t>LIG</w:t>
            </w:r>
            <w:r w:rsidRPr="00A25403">
              <w:rPr>
                <w:rFonts w:ascii="Arial" w:hAnsi="Arial" w:cs="Arial"/>
                <w:b/>
                <w:sz w:val="22"/>
              </w:rPr>
              <w:t>HED</w:t>
            </w:r>
          </w:p>
        </w:tc>
        <w:tc>
          <w:tcPr>
            <w:tcW w:w="2609" w:type="dxa"/>
            <w:gridSpan w:val="2"/>
            <w:tcBorders>
              <w:right w:val="single" w:sz="18" w:space="0" w:color="auto"/>
            </w:tcBorders>
          </w:tcPr>
          <w:p w14:paraId="314A4237" w14:textId="77777777" w:rsidR="003035F8" w:rsidRPr="00EA3C0A" w:rsidRDefault="003035F8" w:rsidP="00EA3C0A">
            <w:pPr>
              <w:rPr>
                <w:sz w:val="22"/>
                <w:szCs w:val="22"/>
              </w:rPr>
            </w:pPr>
            <w:r w:rsidRPr="00EA3C0A">
              <w:rPr>
                <w:sz w:val="22"/>
                <w:szCs w:val="22"/>
              </w:rPr>
              <w:t>Der vil stort set ikke kunne ske tilskadekomst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14:paraId="08DB156B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605" w:type="dxa"/>
            <w:gridSpan w:val="2"/>
          </w:tcPr>
          <w:p w14:paraId="57D170C1" w14:textId="77777777" w:rsidR="003035F8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 xml:space="preserve">INGEN/ </w:t>
            </w:r>
          </w:p>
          <w:p w14:paraId="18DF6F83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MINIMAL SKADE</w:t>
            </w:r>
          </w:p>
        </w:tc>
        <w:tc>
          <w:tcPr>
            <w:tcW w:w="3413" w:type="dxa"/>
            <w:gridSpan w:val="2"/>
            <w:tcBorders>
              <w:right w:val="single" w:sz="18" w:space="0" w:color="auto"/>
            </w:tcBorders>
          </w:tcPr>
          <w:p w14:paraId="4EC5AE6F" w14:textId="77777777" w:rsidR="003035F8" w:rsidRPr="00A25403" w:rsidRDefault="00EA3C0A" w:rsidP="00FC78FC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O</w:t>
            </w:r>
            <w:r w:rsidR="003035F8" w:rsidRPr="00A25403">
              <w:rPr>
                <w:sz w:val="22"/>
              </w:rPr>
              <w:t>verfladiske skrammer, mindre sår, øjenirritation, hovedpine, oplevelse af stress, oplever sig lettere krænket</w:t>
            </w:r>
            <w:r w:rsidR="003035F8" w:rsidRPr="00A2540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035F8" w:rsidRPr="00A25403" w14:paraId="5889F34D" w14:textId="77777777" w:rsidTr="00EA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" w:type="dxa"/>
            <w:tcBorders>
              <w:left w:val="single" w:sz="18" w:space="0" w:color="auto"/>
            </w:tcBorders>
          </w:tcPr>
          <w:p w14:paraId="732A37ED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572" w:type="dxa"/>
            <w:gridSpan w:val="2"/>
          </w:tcPr>
          <w:p w14:paraId="35B06D2B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MELLEM SANDSYN</w:t>
            </w:r>
            <w:r>
              <w:rPr>
                <w:rFonts w:ascii="Arial" w:hAnsi="Arial" w:cs="Arial"/>
                <w:b/>
                <w:sz w:val="22"/>
              </w:rPr>
              <w:t>LIG</w:t>
            </w:r>
            <w:r w:rsidRPr="00A25403">
              <w:rPr>
                <w:rFonts w:ascii="Arial" w:hAnsi="Arial" w:cs="Arial"/>
                <w:b/>
                <w:sz w:val="22"/>
              </w:rPr>
              <w:t>HED</w:t>
            </w:r>
          </w:p>
        </w:tc>
        <w:tc>
          <w:tcPr>
            <w:tcW w:w="2609" w:type="dxa"/>
            <w:gridSpan w:val="2"/>
            <w:tcBorders>
              <w:right w:val="single" w:sz="18" w:space="0" w:color="auto"/>
            </w:tcBorders>
          </w:tcPr>
          <w:p w14:paraId="4C58DE04" w14:textId="77777777" w:rsidR="003035F8" w:rsidRPr="00EA3C0A" w:rsidRDefault="003035F8" w:rsidP="00EA3C0A">
            <w:pPr>
              <w:rPr>
                <w:sz w:val="22"/>
                <w:szCs w:val="22"/>
              </w:rPr>
            </w:pPr>
            <w:r w:rsidRPr="00EA3C0A">
              <w:rPr>
                <w:sz w:val="22"/>
                <w:szCs w:val="22"/>
              </w:rPr>
              <w:t>Under de givne omstændigheder er det meget lidt sandsynligt at der kan ske tilskadekomst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14:paraId="084A1FAA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605" w:type="dxa"/>
            <w:gridSpan w:val="2"/>
          </w:tcPr>
          <w:p w14:paraId="1EAD78ED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MÆRKBAR SKADE</w:t>
            </w:r>
          </w:p>
        </w:tc>
        <w:tc>
          <w:tcPr>
            <w:tcW w:w="3413" w:type="dxa"/>
            <w:gridSpan w:val="2"/>
            <w:tcBorders>
              <w:right w:val="single" w:sz="18" w:space="0" w:color="auto"/>
            </w:tcBorders>
          </w:tcPr>
          <w:p w14:paraId="0004F079" w14:textId="77777777" w:rsidR="003035F8" w:rsidRPr="00A25403" w:rsidRDefault="00EA3C0A" w:rsidP="00FC78FC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F</w:t>
            </w:r>
            <w:r w:rsidR="003035F8" w:rsidRPr="00A25403">
              <w:rPr>
                <w:sz w:val="22"/>
              </w:rPr>
              <w:t>længer, mindre forbrændinger, hjernerystelse, mindre brud, døvhed, hudsygdomme, astma, stress, psykisk træthed, begyndende lavt selvværd</w:t>
            </w:r>
            <w:r w:rsidR="003035F8" w:rsidRPr="00A2540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035F8" w:rsidRPr="00A25403" w14:paraId="6D119698" w14:textId="77777777" w:rsidTr="00EA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</w:tcPr>
          <w:p w14:paraId="3F47A44B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572" w:type="dxa"/>
            <w:gridSpan w:val="2"/>
            <w:tcBorders>
              <w:bottom w:val="single" w:sz="18" w:space="0" w:color="auto"/>
            </w:tcBorders>
          </w:tcPr>
          <w:p w14:paraId="3A76B859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STOR SANDSYN</w:t>
            </w:r>
            <w:r>
              <w:rPr>
                <w:rFonts w:ascii="Arial" w:hAnsi="Arial" w:cs="Arial"/>
                <w:b/>
                <w:sz w:val="22"/>
              </w:rPr>
              <w:t>LIG</w:t>
            </w:r>
            <w:r w:rsidRPr="00A25403">
              <w:rPr>
                <w:rFonts w:ascii="Arial" w:hAnsi="Arial" w:cs="Arial"/>
                <w:b/>
                <w:sz w:val="22"/>
              </w:rPr>
              <w:t>HED</w:t>
            </w:r>
          </w:p>
        </w:tc>
        <w:tc>
          <w:tcPr>
            <w:tcW w:w="26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78B05C5" w14:textId="77777777" w:rsidR="003035F8" w:rsidRPr="00EA3C0A" w:rsidRDefault="003035F8" w:rsidP="00EA3C0A">
            <w:pPr>
              <w:rPr>
                <w:sz w:val="22"/>
                <w:szCs w:val="22"/>
              </w:rPr>
            </w:pPr>
            <w:r w:rsidRPr="00EA3C0A">
              <w:rPr>
                <w:sz w:val="22"/>
                <w:szCs w:val="22"/>
              </w:rPr>
              <w:t>Under de givne omstændigheder vil der kunne ske en tilskadekomst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</w:tcBorders>
          </w:tcPr>
          <w:p w14:paraId="2B6955CC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605" w:type="dxa"/>
            <w:gridSpan w:val="2"/>
            <w:tcBorders>
              <w:bottom w:val="single" w:sz="18" w:space="0" w:color="auto"/>
            </w:tcBorders>
          </w:tcPr>
          <w:p w14:paraId="030D3713" w14:textId="77777777" w:rsidR="003035F8" w:rsidRPr="00A25403" w:rsidRDefault="003035F8" w:rsidP="00FC78FC">
            <w:pPr>
              <w:rPr>
                <w:rFonts w:ascii="Arial" w:hAnsi="Arial" w:cs="Arial"/>
                <w:b/>
                <w:sz w:val="22"/>
              </w:rPr>
            </w:pPr>
            <w:r w:rsidRPr="00A25403">
              <w:rPr>
                <w:rFonts w:ascii="Arial" w:hAnsi="Arial" w:cs="Arial"/>
                <w:b/>
                <w:sz w:val="22"/>
              </w:rPr>
              <w:t>ALVORLIG SKADE</w:t>
            </w:r>
          </w:p>
        </w:tc>
        <w:tc>
          <w:tcPr>
            <w:tcW w:w="341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D067DB7" w14:textId="77777777" w:rsidR="003035F8" w:rsidRPr="00A25403" w:rsidRDefault="003035F8" w:rsidP="00FC78FC">
            <w:pPr>
              <w:rPr>
                <w:rFonts w:ascii="Arial" w:hAnsi="Arial" w:cs="Arial"/>
                <w:sz w:val="22"/>
              </w:rPr>
            </w:pPr>
            <w:r w:rsidRPr="00A25403">
              <w:rPr>
                <w:sz w:val="22"/>
              </w:rPr>
              <w:t xml:space="preserve">Død, amputation, større brud, svær forgiftning, livsfarlige skader, arbejdsbetinget livstruende sygdomme, akutte dødelige sygdomme, tab af selvværd  </w:t>
            </w:r>
          </w:p>
        </w:tc>
      </w:tr>
    </w:tbl>
    <w:p w14:paraId="2DB2EA20" w14:textId="7DCB9867" w:rsidR="003B346E" w:rsidRDefault="003B346E">
      <w:pPr>
        <w:rPr>
          <w:rFonts w:ascii="Arial" w:hAnsi="Arial"/>
          <w:b/>
          <w:sz w:val="36"/>
        </w:rPr>
      </w:pPr>
    </w:p>
    <w:p w14:paraId="72AF72D4" w14:textId="6AD09F5D" w:rsidR="00B05903" w:rsidRDefault="00B05903" w:rsidP="00103188">
      <w:pPr>
        <w:pStyle w:val="Overskrift1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836"/>
        <w:gridCol w:w="1560"/>
        <w:gridCol w:w="992"/>
        <w:gridCol w:w="1134"/>
        <w:gridCol w:w="1134"/>
      </w:tblGrid>
      <w:tr w:rsidR="00F241F2" w:rsidRPr="00BF58CA" w14:paraId="2D0DB965" w14:textId="77777777" w:rsidTr="00F241F2">
        <w:trPr>
          <w:tblHeader/>
        </w:trPr>
        <w:tc>
          <w:tcPr>
            <w:tcW w:w="2834" w:type="dxa"/>
          </w:tcPr>
          <w:p w14:paraId="4C02B6B6" w14:textId="4160D807" w:rsidR="00F241F2" w:rsidRPr="005553AB" w:rsidRDefault="00F241F2" w:rsidP="00C811B5">
            <w:pPr>
              <w:rPr>
                <w:rFonts w:ascii="Arial" w:hAnsi="Arial" w:cs="Arial"/>
                <w:b/>
                <w:color w:val="00B050"/>
                <w:sz w:val="20"/>
              </w:rPr>
            </w:pPr>
            <w:r w:rsidRPr="005553AB">
              <w:rPr>
                <w:rFonts w:ascii="Arial" w:hAnsi="Arial" w:cs="Arial"/>
                <w:b/>
                <w:color w:val="00B050"/>
                <w:sz w:val="20"/>
              </w:rPr>
              <w:t>ARBEJDSMILJØPROBLEM</w:t>
            </w:r>
          </w:p>
          <w:p w14:paraId="1F283198" w14:textId="6B0EDA69" w:rsidR="00F241F2" w:rsidRPr="005553AB" w:rsidRDefault="00F241F2" w:rsidP="00C811B5">
            <w:pPr>
              <w:rPr>
                <w:rFonts w:ascii="Arial" w:hAnsi="Arial" w:cs="Arial"/>
                <w:b/>
                <w:color w:val="00B050"/>
                <w:sz w:val="20"/>
              </w:rPr>
            </w:pPr>
          </w:p>
          <w:p w14:paraId="64036703" w14:textId="766E7249" w:rsidR="00F241F2" w:rsidRPr="005553AB" w:rsidRDefault="00F241F2" w:rsidP="00C811B5">
            <w:pPr>
              <w:rPr>
                <w:rFonts w:ascii="Arial" w:hAnsi="Arial" w:cs="Arial"/>
                <w:b/>
                <w:color w:val="00B050"/>
                <w:sz w:val="20"/>
              </w:rPr>
            </w:pPr>
            <w:r w:rsidRPr="005553AB">
              <w:rPr>
                <w:rFonts w:ascii="Arial" w:hAnsi="Arial" w:cs="Arial"/>
                <w:b/>
                <w:color w:val="00B050"/>
                <w:sz w:val="20"/>
              </w:rPr>
              <w:t>EGENINDSATSEN</w:t>
            </w:r>
          </w:p>
        </w:tc>
        <w:tc>
          <w:tcPr>
            <w:tcW w:w="4396" w:type="dxa"/>
            <w:gridSpan w:val="2"/>
          </w:tcPr>
          <w:p w14:paraId="7193D346" w14:textId="77777777" w:rsidR="00F241F2" w:rsidRPr="00BF58CA" w:rsidRDefault="00F241F2" w:rsidP="00CE0678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BF58CA">
              <w:rPr>
                <w:rFonts w:ascii="Arial" w:hAnsi="Arial" w:cs="Arial"/>
                <w:b/>
                <w:color w:val="00B050"/>
                <w:sz w:val="20"/>
              </w:rPr>
              <w:t>LØSES SÅDAN</w:t>
            </w:r>
          </w:p>
        </w:tc>
        <w:tc>
          <w:tcPr>
            <w:tcW w:w="992" w:type="dxa"/>
          </w:tcPr>
          <w:p w14:paraId="4F1D27EE" w14:textId="77777777" w:rsidR="00F241F2" w:rsidRPr="00BF58CA" w:rsidRDefault="00F241F2" w:rsidP="00B21E1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BF58CA">
              <w:rPr>
                <w:rFonts w:ascii="Arial" w:hAnsi="Arial" w:cs="Arial"/>
                <w:b/>
                <w:color w:val="00B050"/>
                <w:sz w:val="20"/>
              </w:rPr>
              <w:t>RISIKOVURDERING</w:t>
            </w:r>
          </w:p>
        </w:tc>
        <w:tc>
          <w:tcPr>
            <w:tcW w:w="1134" w:type="dxa"/>
          </w:tcPr>
          <w:p w14:paraId="2C91A6E9" w14:textId="77777777" w:rsidR="00F241F2" w:rsidRPr="00BF58CA" w:rsidRDefault="00F241F2" w:rsidP="008B7F4C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BF58CA">
              <w:rPr>
                <w:rFonts w:ascii="Arial" w:hAnsi="Arial" w:cs="Arial"/>
                <w:b/>
                <w:color w:val="00B050"/>
                <w:sz w:val="20"/>
              </w:rPr>
              <w:t>ANSVARLIG for opgaven</w:t>
            </w:r>
          </w:p>
        </w:tc>
        <w:tc>
          <w:tcPr>
            <w:tcW w:w="1134" w:type="dxa"/>
          </w:tcPr>
          <w:p w14:paraId="6ABCFD20" w14:textId="77777777" w:rsidR="00F241F2" w:rsidRPr="00BF58CA" w:rsidRDefault="00F241F2" w:rsidP="00CE0678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BF58CA">
              <w:rPr>
                <w:rFonts w:ascii="Arial" w:hAnsi="Arial" w:cs="Arial"/>
                <w:b/>
                <w:color w:val="00B050"/>
                <w:sz w:val="20"/>
              </w:rPr>
              <w:t xml:space="preserve">SKAL VÆRE LØST </w:t>
            </w:r>
          </w:p>
        </w:tc>
      </w:tr>
      <w:tr w:rsidR="00F241F2" w:rsidRPr="00CE0678" w14:paraId="4AD5EFDF" w14:textId="77777777" w:rsidTr="00F241F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E3D" w14:textId="44E73504" w:rsidR="00F241F2" w:rsidRPr="005553AB" w:rsidRDefault="00F241F2" w:rsidP="00B32CC4">
            <w:pPr>
              <w:rPr>
                <w:b/>
                <w:color w:val="00B050"/>
              </w:rPr>
            </w:pPr>
            <w:r w:rsidRPr="005553AB">
              <w:rPr>
                <w:b/>
                <w:color w:val="00B050"/>
              </w:rPr>
              <w:t xml:space="preserve">Medarbejdernes </w:t>
            </w:r>
            <w:proofErr w:type="gramStart"/>
            <w:r w:rsidRPr="005553AB">
              <w:rPr>
                <w:b/>
                <w:color w:val="00B050"/>
              </w:rPr>
              <w:t>APV skemaer</w:t>
            </w:r>
            <w:proofErr w:type="gram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5C5" w14:textId="366088F7" w:rsidR="00F241F2" w:rsidRPr="00CE0678" w:rsidRDefault="00F241F2" w:rsidP="002E3E9F">
            <w:pPr>
              <w:rPr>
                <w:b/>
              </w:rPr>
            </w:pPr>
            <w:r>
              <w:rPr>
                <w:b/>
              </w:rPr>
              <w:t xml:space="preserve">De forhold som medarbejderne har påtalt i de udfyldte </w:t>
            </w:r>
            <w:proofErr w:type="gramStart"/>
            <w:r>
              <w:rPr>
                <w:b/>
              </w:rPr>
              <w:t>APV skemaer</w:t>
            </w:r>
            <w:proofErr w:type="gramEnd"/>
            <w:r>
              <w:rPr>
                <w:b/>
              </w:rPr>
              <w:t xml:space="preserve"> er indarbejdet i denne oversigt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577" w14:textId="77777777" w:rsidR="00F241F2" w:rsidRDefault="00F241F2" w:rsidP="00B32C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157" w14:textId="39323649" w:rsidR="00F241F2" w:rsidRPr="00CE0678" w:rsidRDefault="00F241F2" w:rsidP="0094316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ADF" w14:textId="77777777" w:rsidR="00F241F2" w:rsidRPr="00CE0678" w:rsidRDefault="00F241F2" w:rsidP="00B32CC4">
            <w:pPr>
              <w:jc w:val="center"/>
              <w:rPr>
                <w:b/>
              </w:rPr>
            </w:pPr>
          </w:p>
        </w:tc>
      </w:tr>
      <w:tr w:rsidR="007373F8" w14:paraId="041C44FD" w14:textId="77777777" w:rsidTr="007373F8">
        <w:tc>
          <w:tcPr>
            <w:tcW w:w="2834" w:type="dxa"/>
          </w:tcPr>
          <w:p w14:paraId="4E2CABA8" w14:textId="2AF0B2C3" w:rsidR="007373F8" w:rsidRPr="00747E66" w:rsidRDefault="007373F8" w:rsidP="00747E66">
            <w:pPr>
              <w:rPr>
                <w:b/>
                <w:color w:val="00B050"/>
              </w:rPr>
            </w:pPr>
            <w:r w:rsidRPr="00747E66">
              <w:rPr>
                <w:b/>
                <w:color w:val="00B050"/>
              </w:rPr>
              <w:t>Logbøger over lovpligtige kørekort</w:t>
            </w:r>
            <w:r w:rsidR="00E13A17">
              <w:rPr>
                <w:b/>
                <w:color w:val="00B050"/>
              </w:rPr>
              <w:t xml:space="preserve"> og truckcertifikater</w:t>
            </w:r>
          </w:p>
          <w:p w14:paraId="22C22FC3" w14:textId="7F826191" w:rsidR="007373F8" w:rsidRPr="005553AB" w:rsidRDefault="007373F8" w:rsidP="007373F8">
            <w:pPr>
              <w:rPr>
                <w:b/>
                <w:color w:val="00B050"/>
              </w:rPr>
            </w:pPr>
          </w:p>
        </w:tc>
        <w:tc>
          <w:tcPr>
            <w:tcW w:w="4396" w:type="dxa"/>
            <w:gridSpan w:val="2"/>
          </w:tcPr>
          <w:p w14:paraId="0EAF1C9E" w14:textId="63D0CCEB" w:rsidR="007373F8" w:rsidRDefault="007373F8" w:rsidP="007373F8">
            <w:r>
              <w:t>Der skal føres logbøger over de kørekort</w:t>
            </w:r>
            <w:r w:rsidR="00E13A17">
              <w:t xml:space="preserve"> og truckcertifikater</w:t>
            </w:r>
            <w:r>
              <w:t>, som de ansatte skal være i besiddelse af i arbejdstiden for lovligt at kunne føre de køretøjer der anvendes til tjenestekørsel.</w:t>
            </w:r>
          </w:p>
          <w:p w14:paraId="5C5234B4" w14:textId="41B55533" w:rsidR="00B00E8F" w:rsidRDefault="00B00E8F" w:rsidP="007373F8">
            <w:r>
              <w:t>Truckcertifikater afleveres til lederen, der opbevarer dem under ansættelsen.</w:t>
            </w:r>
          </w:p>
          <w:p w14:paraId="6EE98587" w14:textId="77777777" w:rsidR="007373F8" w:rsidRDefault="007373F8" w:rsidP="007373F8">
            <w:r>
              <w:t>Ansatte, der er indblandet i ulykker, og ikke har det lovpligtige kørekort, har ingen forsikringsmæssig dækning.</w:t>
            </w:r>
          </w:p>
          <w:p w14:paraId="271BFF6A" w14:textId="43F324AB" w:rsidR="006602C2" w:rsidRDefault="007373F8" w:rsidP="007373F8">
            <w:r>
              <w:lastRenderedPageBreak/>
              <w:t>Ydermere er arbejdsgiveren ansvarlig, når de ansatte udfører opgaver de ikke er berettiget til.</w:t>
            </w:r>
          </w:p>
        </w:tc>
        <w:tc>
          <w:tcPr>
            <w:tcW w:w="992" w:type="dxa"/>
          </w:tcPr>
          <w:p w14:paraId="56C53FAD" w14:textId="77777777" w:rsidR="007373F8" w:rsidRDefault="007373F8" w:rsidP="007373F8">
            <w:pPr>
              <w:jc w:val="center"/>
            </w:pPr>
            <w:r>
              <w:lastRenderedPageBreak/>
              <w:t>4</w:t>
            </w:r>
          </w:p>
          <w:p w14:paraId="7F07A84F" w14:textId="77777777" w:rsidR="00B00E8F" w:rsidRDefault="00B00E8F" w:rsidP="007373F8">
            <w:pPr>
              <w:jc w:val="center"/>
            </w:pPr>
          </w:p>
          <w:p w14:paraId="7822438C" w14:textId="6828C482" w:rsidR="00B00E8F" w:rsidRDefault="00B00E8F" w:rsidP="007373F8">
            <w:pPr>
              <w:jc w:val="center"/>
            </w:pPr>
          </w:p>
        </w:tc>
        <w:tc>
          <w:tcPr>
            <w:tcW w:w="1134" w:type="dxa"/>
          </w:tcPr>
          <w:p w14:paraId="0AB46ABA" w14:textId="77777777" w:rsidR="00943161" w:rsidRDefault="00943161" w:rsidP="008B7F4C">
            <w:pPr>
              <w:jc w:val="center"/>
            </w:pPr>
            <w:r>
              <w:t xml:space="preserve">Lokal </w:t>
            </w:r>
          </w:p>
          <w:p w14:paraId="55863AFC" w14:textId="50F9656A" w:rsidR="007373F8" w:rsidRDefault="00943161" w:rsidP="008B7F4C">
            <w:pPr>
              <w:jc w:val="center"/>
            </w:pPr>
            <w:r>
              <w:t>leder</w:t>
            </w:r>
          </w:p>
        </w:tc>
        <w:tc>
          <w:tcPr>
            <w:tcW w:w="1134" w:type="dxa"/>
          </w:tcPr>
          <w:p w14:paraId="1991A965" w14:textId="77777777" w:rsidR="007373F8" w:rsidRDefault="007373F8" w:rsidP="007373F8"/>
        </w:tc>
      </w:tr>
      <w:tr w:rsidR="00F241F2" w14:paraId="2A45AA90" w14:textId="77777777" w:rsidTr="00F241F2">
        <w:tc>
          <w:tcPr>
            <w:tcW w:w="2834" w:type="dxa"/>
          </w:tcPr>
          <w:p w14:paraId="6BB96C80" w14:textId="1CC72580" w:rsidR="00F241F2" w:rsidRPr="00747E66" w:rsidRDefault="00F241F2" w:rsidP="00747E66">
            <w:pPr>
              <w:rPr>
                <w:b/>
                <w:color w:val="00B050"/>
              </w:rPr>
            </w:pPr>
            <w:r w:rsidRPr="00747E66">
              <w:rPr>
                <w:b/>
                <w:color w:val="00B050"/>
              </w:rPr>
              <w:t>Arbejdsmiljørunderinger</w:t>
            </w:r>
          </w:p>
          <w:p w14:paraId="4384507A" w14:textId="0F1CCFD6" w:rsidR="00F241F2" w:rsidRPr="005553AB" w:rsidRDefault="00F241F2" w:rsidP="00E97134">
            <w:pPr>
              <w:rPr>
                <w:b/>
                <w:color w:val="00B050"/>
              </w:rPr>
            </w:pPr>
          </w:p>
        </w:tc>
        <w:tc>
          <w:tcPr>
            <w:tcW w:w="4396" w:type="dxa"/>
            <w:gridSpan w:val="2"/>
          </w:tcPr>
          <w:p w14:paraId="46103A67" w14:textId="57F33A9A" w:rsidR="00F241F2" w:rsidRDefault="00F241F2" w:rsidP="000E27FD">
            <w:r>
              <w:t xml:space="preserve">Der gennemføres fremover systematiske runderinger, hvor arbejdsmiljøet </w:t>
            </w:r>
            <w:proofErr w:type="spellStart"/>
            <w:r>
              <w:t>tjeckes</w:t>
            </w:r>
            <w:proofErr w:type="spellEnd"/>
            <w:r>
              <w:t xml:space="preserve"> af (er en del af arbejdsgiverens kontrolforpligtigelse) </w:t>
            </w:r>
          </w:p>
        </w:tc>
        <w:tc>
          <w:tcPr>
            <w:tcW w:w="992" w:type="dxa"/>
          </w:tcPr>
          <w:p w14:paraId="779D5256" w14:textId="77777777" w:rsidR="00F241F2" w:rsidRDefault="00F241F2" w:rsidP="00B21E1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D42F172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696CB409" w14:textId="4C3566AC" w:rsidR="00F241F2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</w:tcPr>
          <w:p w14:paraId="0A43B4C9" w14:textId="77777777" w:rsidR="00F241F2" w:rsidRDefault="00F241F2" w:rsidP="00E97134"/>
        </w:tc>
      </w:tr>
      <w:tr w:rsidR="00F241F2" w14:paraId="0F34F2E8" w14:textId="77777777" w:rsidTr="00F241F2">
        <w:tc>
          <w:tcPr>
            <w:tcW w:w="2834" w:type="dxa"/>
          </w:tcPr>
          <w:p w14:paraId="222A588F" w14:textId="2BCAC0E9" w:rsidR="00F241F2" w:rsidRPr="00747E66" w:rsidRDefault="000134AC" w:rsidP="00747E66">
            <w:pPr>
              <w:rPr>
                <w:b/>
                <w:color w:val="00B050"/>
              </w:rPr>
            </w:pPr>
            <w:r w:rsidRPr="00747E66">
              <w:rPr>
                <w:b/>
                <w:color w:val="00B050"/>
              </w:rPr>
              <w:t>Særlige i</w:t>
            </w:r>
            <w:r w:rsidR="00F241F2" w:rsidRPr="00747E66">
              <w:rPr>
                <w:b/>
                <w:color w:val="00B050"/>
              </w:rPr>
              <w:t>nstruktioner</w:t>
            </w:r>
          </w:p>
        </w:tc>
        <w:tc>
          <w:tcPr>
            <w:tcW w:w="4396" w:type="dxa"/>
            <w:gridSpan w:val="2"/>
          </w:tcPr>
          <w:p w14:paraId="00A9BE6C" w14:textId="77777777" w:rsidR="00995AF2" w:rsidRDefault="00995AF2" w:rsidP="001E1CE6">
            <w:r>
              <w:t>Danske Stenhuggerier har lavet et sæt særlige instruktioner i arbejdsmiljøforhold.</w:t>
            </w:r>
          </w:p>
          <w:p w14:paraId="5BF31029" w14:textId="51D5584F" w:rsidR="00F241F2" w:rsidRDefault="00995AF2" w:rsidP="001E1CE6">
            <w:r>
              <w:t xml:space="preserve"> </w:t>
            </w:r>
          </w:p>
          <w:p w14:paraId="02586F11" w14:textId="23C386F4" w:rsidR="00F241F2" w:rsidRDefault="00995AF2" w:rsidP="005A055C">
            <w:r>
              <w:t>De gennemgås med alle ansatte i afdelingen og alle ansatte skriver under på, at de er gennemgået med dem på forsiden.</w:t>
            </w:r>
          </w:p>
          <w:p w14:paraId="1F1CF890" w14:textId="77777777" w:rsidR="00995AF2" w:rsidRDefault="00995AF2" w:rsidP="005A055C"/>
          <w:p w14:paraId="7651535B" w14:textId="77777777" w:rsidR="00F241F2" w:rsidRDefault="007373F8" w:rsidP="005A055C">
            <w:r>
              <w:t xml:space="preserve">Er i </w:t>
            </w:r>
            <w:r w:rsidR="00995AF2">
              <w:t>vores</w:t>
            </w:r>
            <w:r>
              <w:t xml:space="preserve"> Digitale Arbejdsmiljøhåndbog</w:t>
            </w:r>
            <w:r w:rsidR="004D28EF">
              <w:t xml:space="preserve"> </w:t>
            </w:r>
          </w:p>
          <w:p w14:paraId="348C5154" w14:textId="04CBEDAF" w:rsidR="006602C2" w:rsidRPr="006602C2" w:rsidRDefault="00731355" w:rsidP="005A055C">
            <w:pPr>
              <w:rPr>
                <w:szCs w:val="24"/>
              </w:rPr>
            </w:pPr>
            <w:hyperlink r:id="rId8" w:history="1">
              <w:r w:rsidR="003B5249" w:rsidRPr="00D72F4B">
                <w:rPr>
                  <w:rStyle w:val="Hyperlink"/>
                  <w:sz w:val="24"/>
                  <w:szCs w:val="24"/>
                </w:rPr>
                <w:t>www.miljohuset.dk/arbejdsmiljoinstruktioner/</w:t>
              </w:r>
            </w:hyperlink>
            <w:r w:rsidR="003B5249">
              <w:rPr>
                <w:rStyle w:val="Hyperlink"/>
              </w:rPr>
              <w:t xml:space="preserve"> </w:t>
            </w:r>
          </w:p>
        </w:tc>
        <w:tc>
          <w:tcPr>
            <w:tcW w:w="992" w:type="dxa"/>
          </w:tcPr>
          <w:p w14:paraId="0618D02C" w14:textId="77777777" w:rsidR="00F241F2" w:rsidRDefault="00F241F2" w:rsidP="001E1CE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7B0C088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1842BB92" w14:textId="12D6F867" w:rsidR="00F241F2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</w:tcPr>
          <w:p w14:paraId="532282B1" w14:textId="77777777" w:rsidR="00F241F2" w:rsidRDefault="00F241F2" w:rsidP="009F3A6A"/>
        </w:tc>
      </w:tr>
      <w:tr w:rsidR="00F241F2" w14:paraId="5269A9A9" w14:textId="77777777" w:rsidTr="00F241F2">
        <w:tc>
          <w:tcPr>
            <w:tcW w:w="2834" w:type="dxa"/>
          </w:tcPr>
          <w:p w14:paraId="1D6D9438" w14:textId="4250F1CA" w:rsidR="00F241F2" w:rsidRPr="005553AB" w:rsidRDefault="00F241F2" w:rsidP="00747E66">
            <w:pPr>
              <w:rPr>
                <w:b/>
                <w:color w:val="00B050"/>
              </w:rPr>
            </w:pPr>
            <w:r w:rsidRPr="00747E66">
              <w:rPr>
                <w:b/>
                <w:color w:val="00B050"/>
              </w:rPr>
              <w:t xml:space="preserve">Beredskabsplan psykisk førstehjælp </w:t>
            </w:r>
          </w:p>
        </w:tc>
        <w:tc>
          <w:tcPr>
            <w:tcW w:w="4396" w:type="dxa"/>
            <w:gridSpan w:val="2"/>
          </w:tcPr>
          <w:p w14:paraId="08F876C6" w14:textId="77777777" w:rsidR="00995AF2" w:rsidRDefault="00995AF2" w:rsidP="00834ED6">
            <w:r>
              <w:t>Danske Stenhuggerier har lavet</w:t>
            </w:r>
            <w:r w:rsidR="00F241F2">
              <w:t xml:space="preserve"> en beredskabsplan for psykiske førstehjælp</w:t>
            </w:r>
            <w:r>
              <w:t>, der træder i kraft ved alvorlige arbejdsulykker eller andre traumatiske ting som ansatte kan komme ud for eller være vidne til.</w:t>
            </w:r>
          </w:p>
          <w:p w14:paraId="0FDBE56A" w14:textId="3EF14559" w:rsidR="00F241F2" w:rsidRDefault="00F241F2" w:rsidP="00834ED6"/>
          <w:p w14:paraId="6F2BFD91" w14:textId="77777777" w:rsidR="007373F8" w:rsidRDefault="00A62CA1" w:rsidP="00834ED6">
            <w:r>
              <w:t xml:space="preserve">Er i vores Digitale Arbejdsmiljøhåndbog </w:t>
            </w:r>
          </w:p>
          <w:p w14:paraId="1572B0A9" w14:textId="13CF34A9" w:rsidR="006602C2" w:rsidRPr="006602C2" w:rsidRDefault="00731355" w:rsidP="00834ED6">
            <w:pPr>
              <w:rPr>
                <w:szCs w:val="24"/>
              </w:rPr>
            </w:pPr>
            <w:hyperlink r:id="rId9" w:history="1">
              <w:r w:rsidR="003B5249" w:rsidRPr="00D72F4B">
                <w:rPr>
                  <w:rStyle w:val="Hyperlink"/>
                  <w:sz w:val="24"/>
                  <w:szCs w:val="24"/>
                </w:rPr>
                <w:t>www.miljohuset.dk/psykisk-arbejdsmiljo/</w:t>
              </w:r>
            </w:hyperlink>
            <w:r w:rsidR="003B5249">
              <w:rPr>
                <w:rStyle w:val="Hyperlink"/>
              </w:rPr>
              <w:t xml:space="preserve"> </w:t>
            </w:r>
          </w:p>
        </w:tc>
        <w:tc>
          <w:tcPr>
            <w:tcW w:w="992" w:type="dxa"/>
          </w:tcPr>
          <w:p w14:paraId="6BF00960" w14:textId="77777777" w:rsidR="00F241F2" w:rsidRDefault="00F241F2" w:rsidP="00834ED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C043679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72A49ABD" w14:textId="28AA9C7F" w:rsidR="00F241F2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</w:tcPr>
          <w:p w14:paraId="2FD13009" w14:textId="77777777" w:rsidR="00F241F2" w:rsidRDefault="00F241F2" w:rsidP="00834ED6"/>
        </w:tc>
      </w:tr>
      <w:tr w:rsidR="00A452D6" w14:paraId="7C54435F" w14:textId="77777777" w:rsidTr="003B346E">
        <w:tc>
          <w:tcPr>
            <w:tcW w:w="2834" w:type="dxa"/>
          </w:tcPr>
          <w:p w14:paraId="4B53A0B7" w14:textId="4DF10058" w:rsidR="00A452D6" w:rsidRPr="005553AB" w:rsidRDefault="00A452D6" w:rsidP="003B346E">
            <w:pPr>
              <w:rPr>
                <w:b/>
                <w:color w:val="00B050"/>
              </w:rPr>
            </w:pPr>
            <w:r w:rsidRPr="005553AB">
              <w:rPr>
                <w:b/>
                <w:color w:val="00B050"/>
              </w:rPr>
              <w:t>Rygepolitik</w:t>
            </w:r>
          </w:p>
          <w:p w14:paraId="62496F02" w14:textId="77777777" w:rsidR="00A452D6" w:rsidRDefault="00A452D6" w:rsidP="003B346E">
            <w:pPr>
              <w:rPr>
                <w:b/>
                <w:color w:val="00B050"/>
              </w:rPr>
            </w:pPr>
          </w:p>
          <w:p w14:paraId="1B166893" w14:textId="629C4DD6" w:rsidR="00A452D6" w:rsidRPr="005553AB" w:rsidRDefault="00A452D6" w:rsidP="006602C2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47A98D92" wp14:editId="50057A97">
                  <wp:extent cx="830580" cy="1023620"/>
                  <wp:effectExtent l="0" t="0" r="7620" b="5080"/>
                  <wp:docPr id="38" name="Billede 38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RYGNING FORBUD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08" cy="103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</w:tcPr>
          <w:p w14:paraId="45B6A2B9" w14:textId="786D0741" w:rsidR="00A452D6" w:rsidRDefault="00A452D6" w:rsidP="003B346E">
            <w:r>
              <w:t xml:space="preserve">Hos Danske Stenhuggerier må der (lovområde) ikke ryges </w:t>
            </w:r>
            <w:r w:rsidR="00A62CA1">
              <w:t xml:space="preserve">overalt </w:t>
            </w:r>
            <w:r>
              <w:t>indendørs eller i vores køretøjer.</w:t>
            </w:r>
          </w:p>
          <w:p w14:paraId="6E863810" w14:textId="77777777" w:rsidR="00A452D6" w:rsidRDefault="00A452D6" w:rsidP="003B346E">
            <w:r>
              <w:t>Reglen gælder også E-cigaretter.</w:t>
            </w:r>
          </w:p>
          <w:p w14:paraId="6E978F29" w14:textId="77777777" w:rsidR="00A452D6" w:rsidRDefault="00A452D6" w:rsidP="003B346E">
            <w:r>
              <w:t>Overtrædelse medfører en samtale.</w:t>
            </w:r>
          </w:p>
          <w:p w14:paraId="2F5813F8" w14:textId="77777777" w:rsidR="00A62CA1" w:rsidRDefault="00A62CA1" w:rsidP="003B346E"/>
          <w:p w14:paraId="5EA33B49" w14:textId="71B9D413" w:rsidR="00A62CA1" w:rsidRDefault="002730DE" w:rsidP="003B346E">
            <w:r>
              <w:t xml:space="preserve">Er i vores Digitale Arbejdsmiljøhåndbog </w:t>
            </w:r>
            <w:hyperlink r:id="rId11" w:history="1">
              <w:r w:rsidR="00145ACD" w:rsidRPr="00D72F4B">
                <w:rPr>
                  <w:rStyle w:val="Hyperlink"/>
                  <w:sz w:val="24"/>
                </w:rPr>
                <w:t>www.miljohuset.dk/politikker-og-beredskabsplaner2/</w:t>
              </w:r>
            </w:hyperlink>
            <w:r w:rsidR="00145ACD">
              <w:t xml:space="preserve"> </w:t>
            </w:r>
          </w:p>
        </w:tc>
        <w:tc>
          <w:tcPr>
            <w:tcW w:w="992" w:type="dxa"/>
          </w:tcPr>
          <w:p w14:paraId="37264E6A" w14:textId="7D0114FC" w:rsidR="00A452D6" w:rsidRDefault="000610ED" w:rsidP="003B346E">
            <w:pPr>
              <w:jc w:val="center"/>
            </w:pPr>
            <w:r>
              <w:t>Påbuds og bødeområde</w:t>
            </w:r>
          </w:p>
        </w:tc>
        <w:tc>
          <w:tcPr>
            <w:tcW w:w="1134" w:type="dxa"/>
          </w:tcPr>
          <w:p w14:paraId="34427420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539B0BC1" w14:textId="746DCE1B" w:rsidR="00A452D6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</w:tcPr>
          <w:p w14:paraId="7E1EBD62" w14:textId="77777777" w:rsidR="00A452D6" w:rsidRDefault="00A452D6" w:rsidP="003B346E"/>
        </w:tc>
      </w:tr>
      <w:tr w:rsidR="00F241F2" w14:paraId="4A14FDB3" w14:textId="77777777" w:rsidTr="00F241F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D70" w14:textId="2E9082D9" w:rsidR="00F241F2" w:rsidRDefault="00F241F2" w:rsidP="00747E66">
            <w:pPr>
              <w:rPr>
                <w:b/>
                <w:color w:val="00B050"/>
              </w:rPr>
            </w:pPr>
            <w:r w:rsidRPr="00747E66">
              <w:rPr>
                <w:b/>
                <w:color w:val="00B050"/>
              </w:rPr>
              <w:t>Tekniske hjælpemidler, stiger og elledninger skal have internt årligt eftersyn</w:t>
            </w:r>
          </w:p>
          <w:p w14:paraId="38C2ED17" w14:textId="5D241744" w:rsidR="00995AF2" w:rsidRPr="00747E66" w:rsidRDefault="00995AF2" w:rsidP="00747E66">
            <w:pPr>
              <w:rPr>
                <w:b/>
                <w:color w:val="00B050"/>
              </w:rPr>
            </w:pPr>
          </w:p>
          <w:p w14:paraId="6FA4E1BE" w14:textId="65CCC455" w:rsidR="007373F8" w:rsidRPr="005553AB" w:rsidRDefault="007373F8" w:rsidP="00834ED6">
            <w:pPr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35FCD521" wp14:editId="13AADA19">
                  <wp:extent cx="1257300" cy="1257300"/>
                  <wp:effectExtent l="0" t="0" r="0" b="0"/>
                  <wp:docPr id="24" name="Billede 24" descr="Relateret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et bil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DCF" w14:textId="78F89AEA" w:rsidR="00F241F2" w:rsidRDefault="00F241F2" w:rsidP="005A055C">
            <w:r>
              <w:t>Miljøhuset har i forbindelse med runderingen tjecket alle de fremviste hjælpemidler</w:t>
            </w:r>
            <w:r w:rsidR="003A090A">
              <w:t xml:space="preserve"> (småmaskiner, stiger og ledninger)</w:t>
            </w:r>
            <w:r>
              <w:t xml:space="preserve">. </w:t>
            </w:r>
            <w:r w:rsidR="005C2257">
              <w:t>De</w:t>
            </w:r>
            <w:r>
              <w:t xml:space="preserve"> </w:t>
            </w:r>
            <w:r w:rsidR="005C2257">
              <w:t xml:space="preserve">er </w:t>
            </w:r>
            <w:r>
              <w:t>blevet mærket med Miljøhuset</w:t>
            </w:r>
            <w:r w:rsidR="002730DE">
              <w:t>s</w:t>
            </w:r>
            <w:r>
              <w:t xml:space="preserve"> årlige godkendelsesmærke </w:t>
            </w:r>
            <w:r w:rsidR="005C2257">
              <w:t>og skal godkendes igen om 1 år.</w:t>
            </w:r>
          </w:p>
          <w:p w14:paraId="14AE97AB" w14:textId="77777777" w:rsidR="00F241F2" w:rsidRDefault="00F241F2" w:rsidP="005A055C"/>
          <w:p w14:paraId="08FD29F4" w14:textId="700AC7CD" w:rsidR="00F241F2" w:rsidRDefault="00F241F2" w:rsidP="005A055C">
            <w:r>
              <w:t xml:space="preserve">Tekniske hjælpemidler med hydraulik, hejs eller spil (porte, maskiner med hydrauliske bremser, </w:t>
            </w:r>
            <w:proofErr w:type="spellStart"/>
            <w:r>
              <w:t>treben</w:t>
            </w:r>
            <w:proofErr w:type="spellEnd"/>
            <w:r>
              <w:t xml:space="preserve">, taljer osv) skal efterses af en særlig sagkyndig (fx en lokal mekaniker). Kvitteringer for eftersyn opbevares </w:t>
            </w:r>
            <w:r w:rsidR="00995AF2">
              <w:t>af lederen.</w:t>
            </w:r>
          </w:p>
          <w:p w14:paraId="25ECDDF0" w14:textId="36403BBD" w:rsidR="00F241F2" w:rsidRDefault="00F241F2" w:rsidP="00FA3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66F" w14:textId="77777777" w:rsidR="00F241F2" w:rsidRDefault="00F241F2" w:rsidP="00834ED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3E3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4368566C" w14:textId="259B3B88" w:rsidR="00F241F2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C9F" w14:textId="77777777" w:rsidR="00F241F2" w:rsidRDefault="00F241F2" w:rsidP="00834ED6"/>
        </w:tc>
      </w:tr>
      <w:tr w:rsidR="00F241F2" w14:paraId="1B5F3516" w14:textId="77777777" w:rsidTr="00F241F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5FA" w14:textId="3B124410" w:rsidR="00F241F2" w:rsidRPr="00747E66" w:rsidRDefault="00F241F2" w:rsidP="00747E66">
            <w:pPr>
              <w:rPr>
                <w:b/>
                <w:color w:val="00B050"/>
              </w:rPr>
            </w:pPr>
            <w:r w:rsidRPr="00747E66">
              <w:rPr>
                <w:b/>
                <w:color w:val="00B050"/>
              </w:rPr>
              <w:lastRenderedPageBreak/>
              <w:t>Brugsanvisninger på alle maskiner skal samles sammen</w:t>
            </w:r>
          </w:p>
          <w:p w14:paraId="4ACD3B84" w14:textId="7416661C" w:rsidR="00F241F2" w:rsidRPr="005553AB" w:rsidRDefault="00F241F2" w:rsidP="00834ED6">
            <w:pPr>
              <w:rPr>
                <w:b/>
                <w:color w:val="00B05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CAC" w14:textId="77777777" w:rsidR="00F241F2" w:rsidRDefault="00F241F2" w:rsidP="00834ED6">
            <w:r>
              <w:t>Brugsanvisninger på samtlige maskiner og tekniske hjælpemidler samles sammen og opbevares tilgængeligt for de ansatte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489" w14:textId="77777777" w:rsidR="00F241F2" w:rsidRDefault="00F241F2" w:rsidP="00834ED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F7F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2354DB47" w14:textId="0758D2BB" w:rsidR="00F241F2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C6B" w14:textId="77777777" w:rsidR="00F241F2" w:rsidRDefault="00F241F2" w:rsidP="00834ED6"/>
        </w:tc>
      </w:tr>
      <w:tr w:rsidR="00F241F2" w14:paraId="53E9CBD8" w14:textId="77777777" w:rsidTr="00F241F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DB0" w14:textId="79574C13" w:rsidR="00F241F2" w:rsidRDefault="00F241F2" w:rsidP="007373F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Faremærkede produkter</w:t>
            </w:r>
          </w:p>
          <w:p w14:paraId="118EB24C" w14:textId="6D996688" w:rsidR="003A090A" w:rsidRDefault="003A090A" w:rsidP="007373F8">
            <w:pPr>
              <w:rPr>
                <w:b/>
                <w:color w:val="00B050"/>
              </w:rPr>
            </w:pPr>
          </w:p>
          <w:p w14:paraId="2704B6F1" w14:textId="77777777" w:rsidR="003B346E" w:rsidRDefault="003B346E" w:rsidP="003B346E">
            <w:r w:rsidRPr="0029427E">
              <w:t>De produkter, der har orange faremærker fjernes helt</w:t>
            </w:r>
            <w:r>
              <w:t xml:space="preserve"> fra arbejdspladsen</w:t>
            </w:r>
            <w:r w:rsidRPr="0029427E">
              <w:t>.</w:t>
            </w:r>
          </w:p>
          <w:p w14:paraId="40C8C1A9" w14:textId="20965869" w:rsidR="003A090A" w:rsidRPr="005553AB" w:rsidRDefault="003A090A" w:rsidP="007373F8">
            <w:pPr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1AE1DD8D" wp14:editId="42CA7FE6">
                  <wp:extent cx="933450" cy="1047328"/>
                  <wp:effectExtent l="0" t="0" r="0" b="635"/>
                  <wp:docPr id="26" name="Billede 26" descr="Billedresultat for orange faremÃ¦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ledresultat for orange faremÃ¦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61" cy="105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0DE" w14:textId="77777777" w:rsidR="00491926" w:rsidRDefault="00491926" w:rsidP="007373F8"/>
          <w:p w14:paraId="70BA3720" w14:textId="38018628" w:rsidR="00F241F2" w:rsidRPr="0029427E" w:rsidRDefault="00F241F2" w:rsidP="007373F8">
            <w:r w:rsidRPr="0029427E">
              <w:t>De</w:t>
            </w:r>
            <w:r>
              <w:t>t</w:t>
            </w:r>
            <w:r w:rsidRPr="0029427E">
              <w:t xml:space="preserve"> er kun produkter med nedenstående</w:t>
            </w:r>
            <w:r>
              <w:t xml:space="preserve"> f</w:t>
            </w:r>
            <w:r w:rsidRPr="0029427E">
              <w:t>aremærker der er lovlige</w:t>
            </w:r>
            <w:r>
              <w:t xml:space="preserve"> efter 1/1 2018</w:t>
            </w:r>
            <w:r w:rsidRPr="0029427E">
              <w:t>.</w:t>
            </w:r>
          </w:p>
          <w:p w14:paraId="32E1B273" w14:textId="77777777" w:rsidR="00F241F2" w:rsidRDefault="00F241F2" w:rsidP="00EF6802">
            <w:pPr>
              <w:jc w:val="center"/>
              <w:rPr>
                <w:rFonts w:ascii="Arial" w:hAnsi="Arial" w:cs="Arial"/>
                <w:sz w:val="20"/>
              </w:rPr>
            </w:pPr>
            <w:r w:rsidRPr="00884986">
              <w:rPr>
                <w:noProof/>
              </w:rPr>
              <w:drawing>
                <wp:inline distT="0" distB="0" distL="0" distR="0" wp14:anchorId="110B04ED" wp14:editId="6EC8ABA5">
                  <wp:extent cx="361950" cy="361950"/>
                  <wp:effectExtent l="0" t="0" r="0" b="0"/>
                  <wp:docPr id="17" name="Billede 1" descr="http://www.unece.org/trans/danger/publi/ghs/pictograms/expl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http://www.unece.org/trans/danger/publi/ghs/pictograms/expl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986">
              <w:rPr>
                <w:noProof/>
              </w:rPr>
              <w:drawing>
                <wp:inline distT="0" distB="0" distL="0" distR="0" wp14:anchorId="236DD7F2" wp14:editId="48023442">
                  <wp:extent cx="361950" cy="361950"/>
                  <wp:effectExtent l="0" t="0" r="0" b="0"/>
                  <wp:docPr id="18" name="Billede 2" descr="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986">
              <w:rPr>
                <w:noProof/>
              </w:rPr>
              <w:drawing>
                <wp:inline distT="0" distB="0" distL="0" distR="0" wp14:anchorId="179B9D8C" wp14:editId="47F7C7F8">
                  <wp:extent cx="361950" cy="361950"/>
                  <wp:effectExtent l="0" t="0" r="0" b="0"/>
                  <wp:docPr id="19" name="Billede 5" descr="http://www.unece.org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 descr="http://www.unece.org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986">
              <w:rPr>
                <w:noProof/>
              </w:rPr>
              <w:drawing>
                <wp:inline distT="0" distB="0" distL="0" distR="0" wp14:anchorId="07BF5335" wp14:editId="51E7D120">
                  <wp:extent cx="361950" cy="361950"/>
                  <wp:effectExtent l="0" t="0" r="0" b="0"/>
                  <wp:docPr id="20" name="Billede 3" descr="http://www.unece.org/trans/danger/publi/ghs/pictograms/bot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http://www.unece.org/trans/danger/publi/ghs/pictograms/bot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26EDB" w14:textId="77777777" w:rsidR="00F241F2" w:rsidRDefault="00F241F2" w:rsidP="00EF6802">
            <w:pPr>
              <w:jc w:val="center"/>
              <w:rPr>
                <w:rFonts w:ascii="Arial" w:hAnsi="Arial" w:cs="Arial"/>
                <w:sz w:val="20"/>
              </w:rPr>
            </w:pPr>
            <w:r w:rsidRPr="00884986">
              <w:rPr>
                <w:noProof/>
              </w:rPr>
              <w:drawing>
                <wp:inline distT="0" distB="0" distL="0" distR="0" wp14:anchorId="454E8D4B" wp14:editId="718F59D3">
                  <wp:extent cx="361950" cy="361950"/>
                  <wp:effectExtent l="0" t="0" r="0" b="0"/>
                  <wp:docPr id="11" name="Billede 6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75DCDB" wp14:editId="7BA671EE">
                  <wp:extent cx="361950" cy="36195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6DB664" wp14:editId="7AFAE8C6">
                  <wp:extent cx="371475" cy="361950"/>
                  <wp:effectExtent l="0" t="0" r="9525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986">
              <w:rPr>
                <w:noProof/>
              </w:rPr>
              <w:drawing>
                <wp:inline distT="0" distB="0" distL="0" distR="0" wp14:anchorId="06C0FAF4" wp14:editId="34682268">
                  <wp:extent cx="361950" cy="361950"/>
                  <wp:effectExtent l="0" t="0" r="0" b="0"/>
                  <wp:docPr id="23" name="Billede 4" descr="http://www.unece.org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http://www.unece.org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986">
              <w:rPr>
                <w:noProof/>
              </w:rPr>
              <w:drawing>
                <wp:inline distT="0" distB="0" distL="0" distR="0" wp14:anchorId="19FCB95D" wp14:editId="0F5FE680">
                  <wp:extent cx="361950" cy="361950"/>
                  <wp:effectExtent l="0" t="0" r="0" b="0"/>
                  <wp:docPr id="16" name="Billede 7" descr="http://www.unece.org/trans/danger/publi/ghs/pictograms/pol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 descr="http://www.unece.org/trans/danger/publi/ghs/pictograms/poll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AB38D" w14:textId="77777777" w:rsidR="000610ED" w:rsidRDefault="000610ED" w:rsidP="00EF680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12A2A1" w14:textId="77777777" w:rsidR="000610ED" w:rsidRDefault="000610ED" w:rsidP="00EF680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87A7F1" w14:textId="1736E597" w:rsidR="000610ED" w:rsidRPr="00C048C1" w:rsidRDefault="000610ED" w:rsidP="00EF68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AF0" w14:textId="64F22E02" w:rsidR="00F241F2" w:rsidRDefault="000610ED" w:rsidP="007373F8">
            <w:pPr>
              <w:jc w:val="center"/>
            </w:pPr>
            <w:r>
              <w:t>Påbuds og bødeområde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E7A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75D8F07A" w14:textId="22F4679A" w:rsidR="00F241F2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99D" w14:textId="77777777" w:rsidR="00F241F2" w:rsidRDefault="00F241F2" w:rsidP="007373F8"/>
        </w:tc>
      </w:tr>
      <w:tr w:rsidR="002B4AEC" w14:paraId="5B47A2A2" w14:textId="77777777" w:rsidTr="00F241F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EF8" w14:textId="77777777" w:rsidR="002B4AEC" w:rsidRDefault="002B4AEC" w:rsidP="007373F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Faremærkede produkter</w:t>
            </w:r>
          </w:p>
          <w:p w14:paraId="29199345" w14:textId="57496039" w:rsidR="002B4AEC" w:rsidRDefault="002B4AEC" w:rsidP="007373F8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34FD4DFD" wp14:editId="74A5B03C">
                  <wp:extent cx="1662430" cy="2216785"/>
                  <wp:effectExtent l="0" t="0" r="0" b="0"/>
                  <wp:docPr id="7" name="Billede 7" descr="Et billede, der indeholder køleskab, indendørs, flaske, skab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00525_10130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221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BEB" w14:textId="02BBE816" w:rsidR="002B4AEC" w:rsidRPr="002B4AEC" w:rsidRDefault="002B4AEC" w:rsidP="007373F8">
            <w:pPr>
              <w:rPr>
                <w:szCs w:val="24"/>
              </w:rPr>
            </w:pPr>
            <w:r w:rsidRPr="002B4AEC">
              <w:rPr>
                <w:szCs w:val="24"/>
              </w:rPr>
              <w:t>Danske Stenhuggerier har lavet en særlig kemiapv hvor</w:t>
            </w:r>
            <w:r w:rsidR="00B85545">
              <w:rPr>
                <w:szCs w:val="24"/>
              </w:rPr>
              <w:t xml:space="preserve"> </w:t>
            </w:r>
            <w:r w:rsidRPr="002B4AEC">
              <w:rPr>
                <w:szCs w:val="24"/>
              </w:rPr>
              <w:t>der er en liste over de faremærkede produkter, der er tilladte hos os.</w:t>
            </w:r>
          </w:p>
          <w:p w14:paraId="5414185E" w14:textId="23016ED2" w:rsidR="002B4AEC" w:rsidRPr="002B4AEC" w:rsidRDefault="002B4AEC" w:rsidP="007373F8">
            <w:pPr>
              <w:rPr>
                <w:szCs w:val="24"/>
              </w:rPr>
            </w:pPr>
            <w:r w:rsidRPr="002B4AEC">
              <w:rPr>
                <w:szCs w:val="24"/>
              </w:rPr>
              <w:t xml:space="preserve">Listen kan du finde i vores håndbog: </w:t>
            </w:r>
            <w:hyperlink r:id="rId24" w:history="1">
              <w:r w:rsidR="00145ACD" w:rsidRPr="00D72F4B">
                <w:rPr>
                  <w:rStyle w:val="Hyperlink"/>
                  <w:sz w:val="24"/>
                  <w:szCs w:val="24"/>
                </w:rPr>
                <w:t>www.miljohuset.dk/datablade-vaerksteder/</w:t>
              </w:r>
            </w:hyperlink>
          </w:p>
          <w:p w14:paraId="6501D591" w14:textId="77777777" w:rsidR="002B4AEC" w:rsidRPr="002B4AEC" w:rsidRDefault="002B4AEC" w:rsidP="007373F8">
            <w:pPr>
              <w:rPr>
                <w:szCs w:val="24"/>
              </w:rPr>
            </w:pPr>
            <w:r w:rsidRPr="002B4AEC">
              <w:rPr>
                <w:szCs w:val="24"/>
              </w:rPr>
              <w:t>ALLE steder hvor der er faremærkede produkter skal de gennemgås og de, der ikke er på vores liste skal fjernes.</w:t>
            </w:r>
          </w:p>
          <w:p w14:paraId="2CD25532" w14:textId="77777777" w:rsidR="002B4AEC" w:rsidRPr="002B4AEC" w:rsidRDefault="002B4AEC" w:rsidP="007373F8">
            <w:pPr>
              <w:rPr>
                <w:szCs w:val="24"/>
              </w:rPr>
            </w:pPr>
          </w:p>
          <w:p w14:paraId="692127B8" w14:textId="77777777" w:rsidR="002B4AEC" w:rsidRPr="002B4AEC" w:rsidRDefault="002B4AEC" w:rsidP="007373F8">
            <w:pPr>
              <w:rPr>
                <w:szCs w:val="24"/>
              </w:rPr>
            </w:pPr>
            <w:r w:rsidRPr="002B4AEC">
              <w:rPr>
                <w:szCs w:val="24"/>
              </w:rPr>
              <w:t>Alle sikkerhedsdatablade finder du også på</w:t>
            </w:r>
          </w:p>
          <w:p w14:paraId="6973E09D" w14:textId="77777777" w:rsidR="002B4AEC" w:rsidRDefault="00731355" w:rsidP="007373F8">
            <w:pPr>
              <w:rPr>
                <w:szCs w:val="24"/>
              </w:rPr>
            </w:pPr>
            <w:hyperlink r:id="rId25" w:history="1">
              <w:r w:rsidR="002B4AEC" w:rsidRPr="002B4AEC">
                <w:rPr>
                  <w:rStyle w:val="Hyperlink"/>
                  <w:sz w:val="24"/>
                  <w:szCs w:val="24"/>
                </w:rPr>
                <w:t>https://www.miljohuset.dk/datablade-vaerksteder/</w:t>
              </w:r>
            </w:hyperlink>
          </w:p>
          <w:p w14:paraId="55339150" w14:textId="106846C7" w:rsidR="002B4AEC" w:rsidRPr="002B4AEC" w:rsidRDefault="002B4AEC" w:rsidP="007373F8">
            <w:pPr>
              <w:rPr>
                <w:szCs w:val="24"/>
              </w:rPr>
            </w:pPr>
            <w:r>
              <w:rPr>
                <w:szCs w:val="24"/>
              </w:rPr>
              <w:t>Databladene skal altid være kendt og læst af brugeren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C56" w14:textId="77777777" w:rsidR="002B4AEC" w:rsidRDefault="002B4AEC" w:rsidP="007373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3A7" w14:textId="77777777" w:rsidR="002B4AEC" w:rsidRDefault="002B4AEC" w:rsidP="009431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14A" w14:textId="77777777" w:rsidR="002B4AEC" w:rsidRDefault="002B4AEC" w:rsidP="007373F8"/>
        </w:tc>
      </w:tr>
      <w:tr w:rsidR="00F241F2" w14:paraId="40326221" w14:textId="77777777" w:rsidTr="00F241F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3D2" w14:textId="7C10DD4E" w:rsidR="00747E66" w:rsidRDefault="00747E66" w:rsidP="00983323">
            <w:pPr>
              <w:rPr>
                <w:b/>
                <w:color w:val="00B050"/>
              </w:rPr>
            </w:pPr>
            <w:bookmarkStart w:id="2" w:name="_Hlk18994418"/>
            <w:r>
              <w:rPr>
                <w:b/>
                <w:color w:val="00B050"/>
              </w:rPr>
              <w:t xml:space="preserve">Øjenskyl til kemi </w:t>
            </w:r>
          </w:p>
          <w:p w14:paraId="3339BE84" w14:textId="3B66B55E" w:rsidR="00747E66" w:rsidRPr="005553AB" w:rsidRDefault="00747E66" w:rsidP="008A2132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6E48A0F3" wp14:editId="3A7EC55E">
                  <wp:extent cx="1059180" cy="1781796"/>
                  <wp:effectExtent l="0" t="0" r="7620" b="9525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tøvtæt bok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99" cy="181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396" w14:textId="77777777" w:rsidR="000610ED" w:rsidRDefault="000610ED" w:rsidP="000610ED">
            <w:pPr>
              <w:rPr>
                <w:noProof/>
              </w:rPr>
            </w:pPr>
            <w:r w:rsidRPr="00983323">
              <w:t xml:space="preserve">Når der bruges produkter, der er faremærket med </w:t>
            </w:r>
            <w:r w:rsidRPr="00983323">
              <w:rPr>
                <w:noProof/>
              </w:rPr>
              <w:drawing>
                <wp:inline distT="0" distB="0" distL="0" distR="0" wp14:anchorId="02A6696C" wp14:editId="4527053D">
                  <wp:extent cx="205374" cy="205374"/>
                  <wp:effectExtent l="0" t="0" r="4445" b="444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5" cy="20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323">
              <w:rPr>
                <w:noProof/>
              </w:rPr>
              <w:drawing>
                <wp:inline distT="0" distB="0" distL="0" distR="0" wp14:anchorId="0500C710" wp14:editId="09E16963">
                  <wp:extent cx="200417" cy="195277"/>
                  <wp:effectExtent l="0" t="0" r="9525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12" cy="20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323">
              <w:rPr>
                <w:noProof/>
              </w:rPr>
              <w:drawing>
                <wp:inline distT="0" distB="0" distL="0" distR="0" wp14:anchorId="2794B3C3" wp14:editId="0EC10D8B">
                  <wp:extent cx="205374" cy="205374"/>
                  <wp:effectExtent l="0" t="0" r="4445" b="4445"/>
                  <wp:docPr id="1" name="Billede 6" descr="http://www.unece.org/trans/danger/publi/ghs/pictograms/ac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://www.unece.org/trans/danger/publi/ghs/pictograms/ac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22" cy="20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323">
              <w:rPr>
                <w:noProof/>
              </w:rPr>
              <w:drawing>
                <wp:inline distT="0" distB="0" distL="0" distR="0" wp14:anchorId="1F314ED6" wp14:editId="41AA2A34">
                  <wp:extent cx="212943" cy="212943"/>
                  <wp:effectExtent l="0" t="0" r="0" b="0"/>
                  <wp:docPr id="14" name="Billede 4" descr="http://www.unece.org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http://www.unece.org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5" cy="21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323">
              <w:t xml:space="preserve"> skal der være til</w:t>
            </w:r>
            <w:r>
              <w:t>s</w:t>
            </w:r>
            <w:r w:rsidRPr="00983323">
              <w:t>trækkelig øjenskyl til rådighed, så der både er til førstehjælp og i perioden inden en evt lægehjælp eller skadestue kan overtage skylningen.</w:t>
            </w:r>
            <w:r>
              <w:rPr>
                <w:noProof/>
              </w:rPr>
              <w:t xml:space="preserve"> </w:t>
            </w:r>
          </w:p>
          <w:p w14:paraId="650D4AEA" w14:textId="2487D382" w:rsidR="00747E66" w:rsidRDefault="00F241F2" w:rsidP="00747E66">
            <w:r w:rsidRPr="00983323">
              <w:t>Øjenskyl skal placer</w:t>
            </w:r>
            <w:r>
              <w:t>e</w:t>
            </w:r>
            <w:r w:rsidRPr="00983323">
              <w:t>s der hvor</w:t>
            </w:r>
            <w:r>
              <w:t xml:space="preserve"> der er risiko</w:t>
            </w:r>
            <w:r w:rsidRPr="00983323">
              <w:t xml:space="preserve"> for at få noget I </w:t>
            </w:r>
            <w:r>
              <w:t>øjnene.</w:t>
            </w:r>
            <w:r w:rsidR="008C73EF">
              <w:t xml:space="preserve"> </w:t>
            </w:r>
          </w:p>
          <w:p w14:paraId="4692B8F7" w14:textId="4A6EC802" w:rsidR="00491926" w:rsidRDefault="00747E66" w:rsidP="00983323">
            <w:r>
              <w:t>Hvis der bruges af øjenskylleflaskerne, skal der bestilles en ny, så der i hver boks altid er 2</w:t>
            </w:r>
            <w:r w:rsidR="00145ACD">
              <w:t xml:space="preserve"> helt nye</w:t>
            </w:r>
            <w:r>
              <w:t>.</w:t>
            </w:r>
          </w:p>
          <w:p w14:paraId="65F830C4" w14:textId="0ABB17F5" w:rsidR="0062075F" w:rsidRDefault="0062075F" w:rsidP="002B4A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908" w14:textId="77777777" w:rsidR="00F241F2" w:rsidRDefault="00F241F2" w:rsidP="00983323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F98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5DF44572" w14:textId="3F08FA9F" w:rsidR="00F241F2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4E5" w14:textId="77777777" w:rsidR="00F241F2" w:rsidRDefault="00F241F2" w:rsidP="00983323"/>
        </w:tc>
      </w:tr>
      <w:tr w:rsidR="007F3246" w14:paraId="50762050" w14:textId="77777777" w:rsidTr="003B346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C57" w14:textId="1BC55F30" w:rsidR="007F3246" w:rsidRDefault="007F3246" w:rsidP="003B34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Øjenskyl til støv </w:t>
            </w:r>
          </w:p>
          <w:p w14:paraId="50BB034E" w14:textId="46DCA029" w:rsidR="007F3246" w:rsidRDefault="007F3246" w:rsidP="008A2132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18F91A64" wp14:editId="1D8CF0E0">
                  <wp:extent cx="365125" cy="1234004"/>
                  <wp:effectExtent l="342900" t="0" r="301625" b="4445"/>
                  <wp:docPr id="37" name="Billede 37" descr="Et billede, der indeholder toiletvar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yacare 100ml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02323" flipH="1">
                            <a:off x="0" y="0"/>
                            <a:ext cx="374335" cy="126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2906D" w14:textId="7346401C" w:rsidR="007F3246" w:rsidRPr="005553AB" w:rsidRDefault="007F3246" w:rsidP="007F3246">
            <w:pPr>
              <w:rPr>
                <w:b/>
                <w:color w:val="00B05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2BE" w14:textId="5A1E15E4" w:rsidR="007F3246" w:rsidRDefault="007F3246" w:rsidP="003B346E">
            <w:r>
              <w:lastRenderedPageBreak/>
              <w:t>Ved alle øjenskyllestationer er der også en sprayflaske hvis der kommer støv i øjnene.</w:t>
            </w:r>
          </w:p>
          <w:p w14:paraId="4F3AAFB5" w14:textId="7C2FC847" w:rsidR="007F3246" w:rsidRDefault="007F3246" w:rsidP="003B346E">
            <w:r>
              <w:t>Denne spray kan også bruges til sårrens.</w:t>
            </w:r>
          </w:p>
          <w:p w14:paraId="50234853" w14:textId="749A6DCB" w:rsidR="00145ACD" w:rsidRDefault="00145ACD" w:rsidP="003B346E"/>
          <w:p w14:paraId="6372F630" w14:textId="7CFA0F52" w:rsidR="00145ACD" w:rsidRDefault="00145ACD" w:rsidP="003B346E">
            <w:r>
              <w:t xml:space="preserve">Hvis der bruges af </w:t>
            </w:r>
            <w:proofErr w:type="gramStart"/>
            <w:r>
              <w:t>den</w:t>
            </w:r>
            <w:proofErr w:type="gramEnd"/>
            <w:r>
              <w:t xml:space="preserve"> bestilles en ny hos din leder.</w:t>
            </w:r>
          </w:p>
          <w:p w14:paraId="70D1FF06" w14:textId="68346735" w:rsidR="0062075F" w:rsidRDefault="0062075F" w:rsidP="002B4A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C0B" w14:textId="77777777" w:rsidR="007F3246" w:rsidRDefault="007F3246" w:rsidP="003B346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CA3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5C709D5E" w14:textId="0FB7321E" w:rsidR="007F3246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426" w14:textId="77777777" w:rsidR="007F3246" w:rsidRDefault="007F3246" w:rsidP="003B346E"/>
        </w:tc>
      </w:tr>
      <w:bookmarkEnd w:id="2"/>
      <w:tr w:rsidR="00F241F2" w:rsidRPr="00782374" w14:paraId="4B5591DE" w14:textId="77777777" w:rsidTr="00F241F2">
        <w:trPr>
          <w:trHeight w:val="27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21F0F" w14:textId="4A63A51E" w:rsidR="00F241F2" w:rsidRDefault="00FC5DF7" w:rsidP="0098332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Sikkerhedssko</w:t>
            </w:r>
          </w:p>
          <w:p w14:paraId="6DDB4409" w14:textId="4AB5D1D6" w:rsidR="00FC5DF7" w:rsidRPr="005553AB" w:rsidRDefault="00FC5DF7" w:rsidP="00983323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3C3FD895" wp14:editId="1B03C6A2">
                  <wp:extent cx="1122680" cy="1587962"/>
                  <wp:effectExtent l="0" t="0" r="1270" b="0"/>
                  <wp:docPr id="48" name="Bille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_Fordvaern_m_snoerre1024_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29" cy="160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63900" w14:textId="1DC42775" w:rsidR="00F241F2" w:rsidRPr="002B5308" w:rsidRDefault="00FC5DF7" w:rsidP="00983323">
            <w:r>
              <w:t>Hvor der håndteres sten og andre tunge ting, der kan lave skader på fødder, skal der bæres sikkerhedssko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9031" w14:textId="77777777" w:rsidR="00F241F2" w:rsidRPr="002B5308" w:rsidRDefault="00F241F2" w:rsidP="0098332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67C4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5B98D3A1" w14:textId="588A473B" w:rsidR="00943161" w:rsidRPr="002B5308" w:rsidRDefault="00943161" w:rsidP="00943161">
            <w:pPr>
              <w:jc w:val="center"/>
            </w:pPr>
            <w:r>
              <w:t xml:space="preserve">leder </w:t>
            </w:r>
          </w:p>
          <w:p w14:paraId="24895D74" w14:textId="4B7C53E0" w:rsidR="00F241F2" w:rsidRPr="002B5308" w:rsidRDefault="00F241F2" w:rsidP="009431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2E0B7" w14:textId="77777777" w:rsidR="00F241F2" w:rsidRPr="002B5308" w:rsidRDefault="00F241F2" w:rsidP="00983323"/>
        </w:tc>
      </w:tr>
      <w:tr w:rsidR="00A452D6" w:rsidRPr="00782374" w14:paraId="4A84D36E" w14:textId="77777777" w:rsidTr="00F241F2">
        <w:trPr>
          <w:trHeight w:val="27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99C86" w14:textId="77777777" w:rsidR="00A452D6" w:rsidRDefault="00A452D6" w:rsidP="00A452D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Støjende maskiner</w:t>
            </w:r>
          </w:p>
          <w:p w14:paraId="3B553ABE" w14:textId="6D0E29E0" w:rsidR="00A452D6" w:rsidRDefault="00A452D6" w:rsidP="00983323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536961E5" wp14:editId="7FFCFD6A">
                  <wp:extent cx="1083131" cy="1532022"/>
                  <wp:effectExtent l="0" t="0" r="3175" b="0"/>
                  <wp:docPr id="49" name="Bille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_Hoerevaern1024_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36" cy="157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B6A68" w14:textId="76825F32" w:rsidR="00A452D6" w:rsidRDefault="00FC5DF7" w:rsidP="00983323">
            <w:r>
              <w:t>Ved arbejde med støjende maskiner skal der bæres høreværn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FA63" w14:textId="0B4213C5" w:rsidR="00A452D6" w:rsidRDefault="009344ED" w:rsidP="0098332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2B018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3BAB834E" w14:textId="509A5359" w:rsidR="00A452D6" w:rsidRPr="002B5308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90AEC" w14:textId="77777777" w:rsidR="00A452D6" w:rsidRPr="002B5308" w:rsidRDefault="00A452D6" w:rsidP="00983323"/>
        </w:tc>
      </w:tr>
      <w:tr w:rsidR="00A452D6" w:rsidRPr="00782374" w14:paraId="25BD10D0" w14:textId="77777777" w:rsidTr="00F241F2">
        <w:trPr>
          <w:trHeight w:val="27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F576E" w14:textId="4AFD635F" w:rsidR="00A452D6" w:rsidRDefault="00FC5DF7" w:rsidP="0098332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Sikkerhedsbriller</w:t>
            </w:r>
          </w:p>
          <w:p w14:paraId="68613DAB" w14:textId="5A42E5EE" w:rsidR="00FC5DF7" w:rsidRDefault="00FC5DF7" w:rsidP="00FC5DF7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217F5910" wp14:editId="70146A67">
                  <wp:extent cx="1049104" cy="1483895"/>
                  <wp:effectExtent l="0" t="0" r="0" b="2540"/>
                  <wp:docPr id="50" name="Bille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_Oejenvaern1024_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67" cy="151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C75F" w14:textId="7D710B9D" w:rsidR="00A452D6" w:rsidRDefault="00807A81" w:rsidP="00983323">
            <w:r>
              <w:t>Hvor der skæres med vinkelsliber eller hvor der arbejdes, så støv, gnister m.v. kan springe op i øjnene, skal der bæres sikkerhedsbriller under arbejdet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88A2F" w14:textId="00FD2C7C" w:rsidR="00A452D6" w:rsidRDefault="009344ED" w:rsidP="0098332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869D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7DDA24E2" w14:textId="476294F3" w:rsidR="00A452D6" w:rsidRPr="002B5308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5DD06" w14:textId="77777777" w:rsidR="00A452D6" w:rsidRPr="002B5308" w:rsidRDefault="00A452D6" w:rsidP="00983323"/>
        </w:tc>
      </w:tr>
      <w:tr w:rsidR="00FC5DF7" w:rsidRPr="00782374" w14:paraId="61833F53" w14:textId="77777777" w:rsidTr="00145ACD">
        <w:trPr>
          <w:trHeight w:val="14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4CD" w14:textId="77777777" w:rsidR="00FC5DF7" w:rsidRDefault="00FC5DF7" w:rsidP="00FC5DF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Støv og sandkorn i rummet</w:t>
            </w:r>
          </w:p>
          <w:p w14:paraId="10DE5247" w14:textId="77777777" w:rsidR="00FC5DF7" w:rsidRDefault="00FC5DF7" w:rsidP="00983323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32BF3554" wp14:editId="6F26AB6C">
                  <wp:extent cx="1082675" cy="1531376"/>
                  <wp:effectExtent l="0" t="0" r="3175" b="0"/>
                  <wp:docPr id="51" name="Billede 51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_Stoevmaske1024_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757" cy="156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1ED64" w14:textId="319A8B4A" w:rsidR="00943161" w:rsidRDefault="00943161" w:rsidP="00983323">
            <w:pPr>
              <w:rPr>
                <w:b/>
                <w:color w:val="00B05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35B" w14:textId="0D3C21C8" w:rsidR="00FC5DF7" w:rsidRDefault="00807A81" w:rsidP="00983323">
            <w:r>
              <w:t>I de værksteder hvor der er sandkorn og støv i luften skal der bæres ansigtsmaske type P2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7FB" w14:textId="0BA04234" w:rsidR="00FC5DF7" w:rsidRDefault="009344ED" w:rsidP="0098332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6EB" w14:textId="77777777" w:rsidR="00943161" w:rsidRDefault="00943161" w:rsidP="00943161">
            <w:pPr>
              <w:jc w:val="center"/>
            </w:pPr>
            <w:r>
              <w:t xml:space="preserve">Lokal </w:t>
            </w:r>
          </w:p>
          <w:p w14:paraId="5B339DA4" w14:textId="2456D0F2" w:rsidR="00FC5DF7" w:rsidRPr="002B5308" w:rsidRDefault="00943161" w:rsidP="00943161">
            <w:pPr>
              <w:jc w:val="center"/>
            </w:pPr>
            <w:r>
              <w:t>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507" w14:textId="77777777" w:rsidR="00FC5DF7" w:rsidRPr="002B5308" w:rsidRDefault="00FC5DF7" w:rsidP="00983323"/>
        </w:tc>
      </w:tr>
      <w:tr w:rsidR="00145ACD" w:rsidRPr="00782374" w14:paraId="444E0204" w14:textId="77777777" w:rsidTr="00145ACD">
        <w:trPr>
          <w:trHeight w:val="22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B96" w14:textId="61FCE7A7" w:rsidR="00145ACD" w:rsidRDefault="00145ACD" w:rsidP="00FC5DF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Løfte</w:t>
            </w:r>
            <w:r w:rsidR="008737B4">
              <w:rPr>
                <w:b/>
                <w:color w:val="00B050"/>
              </w:rPr>
              <w:t>s</w:t>
            </w:r>
            <w:r>
              <w:rPr>
                <w:b/>
                <w:color w:val="00B050"/>
              </w:rPr>
              <w:t>tropper</w:t>
            </w:r>
          </w:p>
          <w:p w14:paraId="54E514AD" w14:textId="30CF914D" w:rsidR="00145ACD" w:rsidRDefault="008737B4" w:rsidP="00FC5DF7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26061622" wp14:editId="528BE40D">
                  <wp:extent cx="1662430" cy="1247140"/>
                  <wp:effectExtent l="0" t="0" r="0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led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BE2" w14:textId="0FA23D51" w:rsidR="00145ACD" w:rsidRDefault="00145ACD" w:rsidP="00983323">
            <w:r>
              <w:t>Løftestropper med begyndende revner skal smides ud og der skal skaffes nye efterbehov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18A" w14:textId="59660034" w:rsidR="00145ACD" w:rsidRDefault="006A2B64" w:rsidP="0098332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7F75" w14:textId="3E4FEBF4" w:rsidR="00145ACD" w:rsidRDefault="006A2B64" w:rsidP="00943161">
            <w:pPr>
              <w:jc w:val="center"/>
            </w:pPr>
            <w:r>
              <w:t>Lokal 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419" w14:textId="714B291A" w:rsidR="00145ACD" w:rsidRPr="002B5308" w:rsidRDefault="008737B4" w:rsidP="00983323">
            <w:r>
              <w:t>1/8 2020</w:t>
            </w:r>
          </w:p>
        </w:tc>
      </w:tr>
      <w:tr w:rsidR="008737B4" w:rsidRPr="00782374" w14:paraId="57FA22D4" w14:textId="77777777" w:rsidTr="007C449B">
        <w:trPr>
          <w:trHeight w:val="22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FDB" w14:textId="5B7CBE04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Gasslanger</w:t>
            </w:r>
          </w:p>
          <w:p w14:paraId="57EB3A78" w14:textId="6CD97989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6E187062" wp14:editId="0FB9DC2A">
                  <wp:extent cx="1662430" cy="221678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221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0F4" w14:textId="77777777" w:rsidR="008737B4" w:rsidRDefault="008737B4" w:rsidP="008737B4">
            <w:r>
              <w:t xml:space="preserve">Gasslangerne </w:t>
            </w:r>
            <w:proofErr w:type="spellStart"/>
            <w:r>
              <w:t>tjeckes</w:t>
            </w:r>
            <w:proofErr w:type="spellEnd"/>
            <w:r>
              <w:t xml:space="preserve"> i forbindelse med brug.</w:t>
            </w:r>
          </w:p>
          <w:p w14:paraId="762EE2EF" w14:textId="66FE40EC" w:rsidR="008737B4" w:rsidRDefault="008737B4" w:rsidP="008737B4">
            <w:r>
              <w:t xml:space="preserve">Er der revner i (normalt de hvor slangen er monteret til regulatoren og til brænderen), skal den skiftes – eller det dårlige stykke skæres af og spændebånd monteres tilbage.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6C1" w14:textId="73958AC4" w:rsidR="008737B4" w:rsidRDefault="008737B4" w:rsidP="008737B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4BD" w14:textId="60A147A1" w:rsidR="008737B4" w:rsidRDefault="008737B4" w:rsidP="008737B4">
            <w:pPr>
              <w:jc w:val="center"/>
            </w:pPr>
            <w:r>
              <w:t>Alle og Lokal 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C6A" w14:textId="2645E207" w:rsidR="008737B4" w:rsidRPr="002B5308" w:rsidRDefault="008737B4" w:rsidP="008737B4">
            <w:r>
              <w:t>1/8 2020</w:t>
            </w:r>
          </w:p>
        </w:tc>
      </w:tr>
      <w:tr w:rsidR="008737B4" w:rsidRPr="00782374" w14:paraId="2C6B4B98" w14:textId="77777777" w:rsidTr="007C449B">
        <w:trPr>
          <w:trHeight w:val="22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312" w14:textId="77777777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Gasbrænderen</w:t>
            </w:r>
          </w:p>
          <w:p w14:paraId="4B0DC1EF" w14:textId="77777777" w:rsidR="008737B4" w:rsidRDefault="008737B4" w:rsidP="008737B4">
            <w:pPr>
              <w:rPr>
                <w:b/>
                <w:color w:val="00B050"/>
              </w:rPr>
            </w:pPr>
          </w:p>
          <w:p w14:paraId="4764D52E" w14:textId="3DB934F1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6B92B635" wp14:editId="7664ECFC">
                  <wp:extent cx="1662430" cy="1247140"/>
                  <wp:effectExtent l="0" t="0" r="0" b="0"/>
                  <wp:docPr id="10" name="Billede 10" descr="Et billede, der indeholder sidder, bord, kasse, orang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525_100822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B050"/>
              </w:rPr>
              <w:drawing>
                <wp:inline distT="0" distB="0" distL="0" distR="0" wp14:anchorId="0530DAB8" wp14:editId="3E437E2A">
                  <wp:extent cx="1077459" cy="1524000"/>
                  <wp:effectExtent l="0" t="0" r="8890" b="0"/>
                  <wp:docPr id="52" name="Bille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2. Trykflasker_fjernes_v_brand1024_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55" cy="157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04C" w14:textId="7FEB256D" w:rsidR="008737B4" w:rsidRDefault="008737B4" w:rsidP="008737B4">
            <w:r>
              <w:t>Gasbrænderen skal have en fast plads så tæt på en port til det fri som muligt. Her skal den placeres når værkstedet forlades til fyraften.</w:t>
            </w:r>
          </w:p>
          <w:p w14:paraId="6D14C4DD" w14:textId="77777777" w:rsidR="008737B4" w:rsidRDefault="008737B4" w:rsidP="008737B4"/>
          <w:p w14:paraId="50D149CC" w14:textId="77777777" w:rsidR="008737B4" w:rsidRDefault="008737B4" w:rsidP="008737B4">
            <w:r>
              <w:t>Porten skal have et gult skilt udvendig ”gasflasker fjerne ved brand”.</w:t>
            </w:r>
          </w:p>
          <w:p w14:paraId="0808E62A" w14:textId="77777777" w:rsidR="008737B4" w:rsidRDefault="008737B4" w:rsidP="008737B4"/>
          <w:p w14:paraId="58727E92" w14:textId="77777777" w:rsidR="008737B4" w:rsidRDefault="008737B4" w:rsidP="008737B4">
            <w:r>
              <w:t>Regulatoren afmonteres efter hvert brug.</w:t>
            </w:r>
          </w:p>
          <w:p w14:paraId="3B6E9269" w14:textId="77777777" w:rsidR="008737B4" w:rsidRDefault="008737B4" w:rsidP="008737B4"/>
          <w:p w14:paraId="02531344" w14:textId="1BF3AB27" w:rsidR="008737B4" w:rsidRDefault="008737B4" w:rsidP="008737B4">
            <w:r>
              <w:t>Gule gasflasker udfases og udskiftes til letvægtsmodeller.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B1B" w14:textId="4214C34D" w:rsidR="008737B4" w:rsidRDefault="008737B4" w:rsidP="008737B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9584" w14:textId="4240AECA" w:rsidR="008737B4" w:rsidRDefault="008737B4" w:rsidP="008737B4">
            <w:pPr>
              <w:jc w:val="center"/>
            </w:pPr>
            <w:r>
              <w:t>Alle og Lokal 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71A" w14:textId="467E5CDD" w:rsidR="008737B4" w:rsidRPr="002B5308" w:rsidRDefault="008737B4" w:rsidP="008737B4">
            <w:r>
              <w:t>1/8 2020</w:t>
            </w:r>
          </w:p>
        </w:tc>
      </w:tr>
      <w:tr w:rsidR="008737B4" w:rsidRPr="00782374" w14:paraId="1B7C594B" w14:textId="77777777" w:rsidTr="006A2B64">
        <w:trPr>
          <w:trHeight w:val="198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FC2" w14:textId="305BD497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Gas og iltflasker</w:t>
            </w:r>
          </w:p>
          <w:p w14:paraId="4F93D790" w14:textId="77777777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5EC622B2" wp14:editId="0F11EB29">
                  <wp:extent cx="1662430" cy="1247140"/>
                  <wp:effectExtent l="0" t="0" r="0" b="0"/>
                  <wp:docPr id="4" name="Billede 4" descr="Et billede, der indeholder jord, snavset, affald, rode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jord, snavset, affald, rodet&#10;&#10;Automatisk genereret beskrivelse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E7FCD" w14:textId="03681D0C" w:rsidR="008737B4" w:rsidRDefault="008737B4" w:rsidP="008737B4">
            <w:pPr>
              <w:rPr>
                <w:b/>
                <w:color w:val="00B05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D07" w14:textId="77777777" w:rsidR="008737B4" w:rsidRDefault="008737B4" w:rsidP="008737B4"/>
          <w:p w14:paraId="6B09D095" w14:textId="3A58D61A" w:rsidR="008737B4" w:rsidRDefault="008737B4" w:rsidP="008737B4">
            <w:r>
              <w:rPr>
                <w:noProof/>
              </w:rPr>
              <w:drawing>
                <wp:inline distT="0" distB="0" distL="0" distR="0" wp14:anchorId="7D1A8200" wp14:editId="7CFA430A">
                  <wp:extent cx="1662430" cy="1246823"/>
                  <wp:effectExtent l="0" t="0" r="0" b="0"/>
                  <wp:docPr id="5" name="Billede 5" descr="Et billede, der indeholder snavset, affal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snavset, affald&#10;&#10;Automatisk genereret beskrivelse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010" cy="125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F51" w14:textId="77777777" w:rsidR="008737B4" w:rsidRDefault="008737B4" w:rsidP="008737B4">
            <w:r>
              <w:t xml:space="preserve">De store gas og iltflasker skal altid fastgøres til en væg til fyraften, så de ikke kan vælte. </w:t>
            </w:r>
          </w:p>
          <w:p w14:paraId="71C1EA29" w14:textId="77777777" w:rsidR="008737B4" w:rsidRDefault="008737B4" w:rsidP="008737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0BB" w14:textId="7ACA1C9A" w:rsidR="008737B4" w:rsidRDefault="008737B4" w:rsidP="008737B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8D6" w14:textId="53A778F7" w:rsidR="008737B4" w:rsidRDefault="008737B4" w:rsidP="008737B4">
            <w:pPr>
              <w:jc w:val="center"/>
            </w:pPr>
            <w:r>
              <w:t>Alle og Lokal 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9CE" w14:textId="5AD8787E" w:rsidR="008737B4" w:rsidRPr="002B5308" w:rsidRDefault="008737B4" w:rsidP="008737B4">
            <w:r>
              <w:t>1/8 2020</w:t>
            </w:r>
          </w:p>
        </w:tc>
      </w:tr>
      <w:tr w:rsidR="008737B4" w:rsidRPr="00782374" w14:paraId="1D474D3B" w14:textId="77777777" w:rsidTr="00145ACD">
        <w:trPr>
          <w:trHeight w:val="22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533A1" w14:textId="77777777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Børster på sandblæseren</w:t>
            </w:r>
          </w:p>
          <w:p w14:paraId="7B213B44" w14:textId="5CBF3A19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2F0F0617" wp14:editId="39333C2E">
                  <wp:extent cx="1662430" cy="1247140"/>
                  <wp:effectExtent l="0" t="0" r="0" b="0"/>
                  <wp:docPr id="6" name="Billede 6" descr="Et billede, der indeholder indendørs, snavset, cemen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6" descr="Et billede, der indeholder indendørs, snavset, cement&#10;&#10;Automatisk genereret beskrivelse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94204" w14:textId="77777777" w:rsidR="008737B4" w:rsidRDefault="008737B4" w:rsidP="008737B4">
            <w:r>
              <w:t>Sørg altid for, at børsterne er ”tætte”, så der ikke kommer støv ud i lokalet.</w:t>
            </w:r>
          </w:p>
          <w:p w14:paraId="5F6738F6" w14:textId="77777777" w:rsidR="008737B4" w:rsidRDefault="008737B4" w:rsidP="008737B4"/>
          <w:p w14:paraId="44EB87EE" w14:textId="6D611307" w:rsidR="008737B4" w:rsidRDefault="008737B4" w:rsidP="008737B4">
            <w:r>
              <w:t>Hav altid en ekstra børste klar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826A" w14:textId="17862945" w:rsidR="008737B4" w:rsidRDefault="008737B4" w:rsidP="008737B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9E4E3" w14:textId="7DE74781" w:rsidR="008737B4" w:rsidRDefault="008737B4" w:rsidP="008737B4">
            <w:pPr>
              <w:jc w:val="center"/>
            </w:pPr>
            <w:r>
              <w:t>Alle og Lokal 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EC423" w14:textId="53ECCF40" w:rsidR="008737B4" w:rsidRPr="002B5308" w:rsidRDefault="008737B4" w:rsidP="008737B4">
            <w:r>
              <w:t>1/8 2020</w:t>
            </w:r>
          </w:p>
        </w:tc>
      </w:tr>
      <w:tr w:rsidR="008737B4" w:rsidRPr="00782374" w14:paraId="56EAA18B" w14:textId="77777777" w:rsidTr="009A3F70">
        <w:trPr>
          <w:trHeight w:val="199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E33" w14:textId="16B47A84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Bænkslibere mangler skærm</w:t>
            </w:r>
          </w:p>
          <w:p w14:paraId="24CCCDBB" w14:textId="567F0410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61CBB260" wp14:editId="5E870189">
                  <wp:extent cx="1662430" cy="1247140"/>
                  <wp:effectExtent l="0" t="0" r="0" b="0"/>
                  <wp:docPr id="15" name="Billede 15" descr="Et billede, der indeholder tekst, in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lede 15" descr="Et billede, der indeholder tekst, indendørs&#10;&#10;Automatisk genereret beskrivelse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D7B7D" w14:textId="77777777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11207734" wp14:editId="2589CAD4">
                  <wp:extent cx="1662430" cy="1247140"/>
                  <wp:effectExtent l="0" t="0" r="0" b="0"/>
                  <wp:docPr id="8" name="Billede 8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 descr="Et billede, der indeholder tekst&#10;&#10;Automatisk genereret beskrivelse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07B16" w14:textId="60396E61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164C727B" wp14:editId="0DD09A19">
                  <wp:extent cx="1662430" cy="1247140"/>
                  <wp:effectExtent l="0" t="0" r="0" b="0"/>
                  <wp:docPr id="28" name="Billede 28" descr="Et billede, der indeholder fang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lede 28" descr="Et billede, der indeholder fangst&#10;&#10;Automatisk genereret beskrivelse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F83" w14:textId="77777777" w:rsidR="008737B4" w:rsidRDefault="008737B4" w:rsidP="008737B4">
            <w:r>
              <w:t>Bænksliberen mangler sine skærme. Det udgør en risiko for at få slibestøv og gnister i øjnene.</w:t>
            </w:r>
          </w:p>
          <w:p w14:paraId="3D4BAA3C" w14:textId="77777777" w:rsidR="008737B4" w:rsidRDefault="008737B4" w:rsidP="008737B4"/>
          <w:p w14:paraId="1ACE8AE1" w14:textId="77777777" w:rsidR="008737B4" w:rsidRDefault="008737B4" w:rsidP="008737B4">
            <w:r>
              <w:t>Over bænksliberen hænges et skilt ”høreværn påbudt” og et par sikkerhedsbriller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D5E" w14:textId="5E201E0A" w:rsidR="008737B4" w:rsidRDefault="008737B4" w:rsidP="008737B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864" w14:textId="11B7A1D0" w:rsidR="008737B4" w:rsidRPr="002B5308" w:rsidRDefault="008737B4" w:rsidP="008737B4">
            <w:pPr>
              <w:jc w:val="center"/>
            </w:pPr>
            <w:r>
              <w:t>Alle og Lokal 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BD6" w14:textId="155F719D" w:rsidR="008737B4" w:rsidRPr="002B5308" w:rsidRDefault="008737B4" w:rsidP="008737B4">
            <w:r>
              <w:t>1/8 2020</w:t>
            </w:r>
          </w:p>
        </w:tc>
      </w:tr>
      <w:tr w:rsidR="008737B4" w:rsidRPr="00782374" w14:paraId="4643B514" w14:textId="77777777" w:rsidTr="009A3F70">
        <w:trPr>
          <w:trHeight w:val="199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4A1" w14:textId="77777777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Ledninger gøres lovlige</w:t>
            </w:r>
          </w:p>
          <w:p w14:paraId="0DA3C3E2" w14:textId="487426F4" w:rsidR="008737B4" w:rsidRDefault="008737B4" w:rsidP="008737B4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2B0741EC" wp14:editId="5078C80F">
                  <wp:extent cx="1662430" cy="1247140"/>
                  <wp:effectExtent l="0" t="0" r="0" b="0"/>
                  <wp:docPr id="27" name="Billede 27" descr="Et billede, der indeholder indendørs, luk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lede 27" descr="Et billede, der indeholder indendørs, luk&#10;&#10;Automatisk genereret beskrivelse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BD7" w14:textId="14DFCE1F" w:rsidR="008737B4" w:rsidRDefault="008737B4" w:rsidP="008737B4">
            <w:r>
              <w:t>Den viste ledning er defekt med revner</w:t>
            </w:r>
          </w:p>
          <w:p w14:paraId="7C36346C" w14:textId="77777777" w:rsidR="008737B4" w:rsidRDefault="008737B4" w:rsidP="008737B4"/>
          <w:p w14:paraId="468613F6" w14:textId="77777777" w:rsidR="008737B4" w:rsidRDefault="008737B4" w:rsidP="008737B4">
            <w:r>
              <w:t>Alle ledninger gennemgås for lovlige stik hvor stikket ikke kan skilles på midten og der er en kappe rundt om ledningen.</w:t>
            </w:r>
          </w:p>
          <w:p w14:paraId="20B8A09B" w14:textId="77777777" w:rsidR="008737B4" w:rsidRDefault="008737B4" w:rsidP="008737B4"/>
          <w:p w14:paraId="65F624C9" w14:textId="77777777" w:rsidR="008737B4" w:rsidRDefault="008737B4" w:rsidP="008737B4">
            <w:r>
              <w:t xml:space="preserve">Hvis der er revner eller synlige </w:t>
            </w:r>
            <w:proofErr w:type="spellStart"/>
            <w:r>
              <w:t>inderledninger</w:t>
            </w:r>
            <w:proofErr w:type="spellEnd"/>
            <w:r>
              <w:t>, skal de kasseres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1FD" w14:textId="0EAD16DC" w:rsidR="008737B4" w:rsidRDefault="008737B4" w:rsidP="008737B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121" w14:textId="2152BF94" w:rsidR="008737B4" w:rsidRPr="002B5308" w:rsidRDefault="008737B4" w:rsidP="008737B4">
            <w:pPr>
              <w:jc w:val="center"/>
            </w:pPr>
            <w:r>
              <w:t>Alle og Lokal leder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6C6" w14:textId="192176A2" w:rsidR="008737B4" w:rsidRPr="002B5308" w:rsidRDefault="008737B4" w:rsidP="008737B4">
            <w:r>
              <w:t>1/8 20</w:t>
            </w:r>
            <w:r>
              <w:t>20</w:t>
            </w:r>
          </w:p>
        </w:tc>
      </w:tr>
    </w:tbl>
    <w:p w14:paraId="6CAA445B" w14:textId="77777777" w:rsidR="00232AEB" w:rsidRDefault="00232AEB" w:rsidP="00232AEB"/>
    <w:p w14:paraId="5B0D56F6" w14:textId="77777777" w:rsidR="00232AEB" w:rsidRPr="00A94429" w:rsidRDefault="00232AEB" w:rsidP="00232AEB"/>
    <w:p w14:paraId="29CDF79B" w14:textId="77777777" w:rsidR="00232AEB" w:rsidRPr="00A94429" w:rsidRDefault="00232AEB" w:rsidP="00232AEB"/>
    <w:p w14:paraId="389C4449" w14:textId="77777777" w:rsidR="00F47107" w:rsidRPr="00A94429" w:rsidRDefault="00F47107" w:rsidP="00261D7B"/>
    <w:sectPr w:rsidR="00F47107" w:rsidRPr="00A94429" w:rsidSect="00EA3C0A">
      <w:footerReference w:type="even" r:id="rId43"/>
      <w:footerReference w:type="default" r:id="rId44"/>
      <w:pgSz w:w="11907" w:h="16840" w:code="9"/>
      <w:pgMar w:top="851" w:right="851" w:bottom="851" w:left="851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962F" w14:textId="77777777" w:rsidR="00731355" w:rsidRDefault="00731355">
      <w:r>
        <w:separator/>
      </w:r>
    </w:p>
  </w:endnote>
  <w:endnote w:type="continuationSeparator" w:id="0">
    <w:p w14:paraId="2A6DC969" w14:textId="77777777" w:rsidR="00731355" w:rsidRDefault="007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FF65" w14:textId="77777777" w:rsidR="003B346E" w:rsidRDefault="003B346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8087C64" w14:textId="77777777" w:rsidR="003B346E" w:rsidRDefault="003B346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37EF" w14:textId="77777777" w:rsidR="003B346E" w:rsidRDefault="003B346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2624"/>
      <w:gridCol w:w="7329"/>
    </w:tblGrid>
    <w:tr w:rsidR="003B346E" w:rsidRPr="00EE6C3A" w14:paraId="52079572" w14:textId="77777777" w:rsidTr="00F76A53">
      <w:tc>
        <w:tcPr>
          <w:tcW w:w="2506" w:type="dxa"/>
          <w:shd w:val="clear" w:color="auto" w:fill="auto"/>
        </w:tcPr>
        <w:p w14:paraId="5D43AA28" w14:textId="77777777" w:rsidR="003B346E" w:rsidRPr="00EE6C3A" w:rsidRDefault="003B346E" w:rsidP="00F76A53">
          <w:pPr>
            <w:pStyle w:val="Sidefod"/>
            <w:jc w:val="center"/>
            <w:rPr>
              <w:rFonts w:ascii="Comic Sans MS" w:hAnsi="Comic Sans MS"/>
              <w:color w:val="339966"/>
            </w:rPr>
          </w:pPr>
          <w:r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319595AF" wp14:editId="529C183D">
                <wp:extent cx="1529080" cy="500380"/>
                <wp:effectExtent l="0" t="0" r="0" b="0"/>
                <wp:docPr id="9" name="Billede 9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7" w:type="dxa"/>
          <w:shd w:val="clear" w:color="auto" w:fill="auto"/>
        </w:tcPr>
        <w:p w14:paraId="07E3B4AD" w14:textId="77777777" w:rsidR="003B346E" w:rsidRPr="00EE6C3A" w:rsidRDefault="003B346E" w:rsidP="00F76A53">
          <w:pPr>
            <w:pStyle w:val="Sidefod"/>
            <w:jc w:val="center"/>
            <w:rPr>
              <w:rFonts w:ascii="Arial" w:hAnsi="Arial" w:cs="Arial"/>
              <w:b/>
              <w:bCs/>
              <w:color w:val="00B050"/>
              <w:sz w:val="20"/>
            </w:rPr>
          </w:pPr>
        </w:p>
        <w:tbl>
          <w:tblPr>
            <w:tblW w:w="7013" w:type="dxa"/>
            <w:tblInd w:w="100" w:type="dxa"/>
            <w:tblLook w:val="04A0" w:firstRow="1" w:lastRow="0" w:firstColumn="1" w:lastColumn="0" w:noHBand="0" w:noVBand="1"/>
          </w:tblPr>
          <w:tblGrid>
            <w:gridCol w:w="2001"/>
            <w:gridCol w:w="2345"/>
            <w:gridCol w:w="2667"/>
          </w:tblGrid>
          <w:tr w:rsidR="003B346E" w:rsidRPr="00EE6C3A" w14:paraId="669B77EE" w14:textId="77777777" w:rsidTr="00EC172C">
            <w:tc>
              <w:tcPr>
                <w:tcW w:w="2001" w:type="dxa"/>
                <w:shd w:val="clear" w:color="auto" w:fill="auto"/>
              </w:tcPr>
              <w:p w14:paraId="4596F2CA" w14:textId="77777777" w:rsidR="003B346E" w:rsidRPr="00EC172C" w:rsidRDefault="003B346E" w:rsidP="00EC172C">
                <w:pPr>
                  <w:pStyle w:val="Sidefod"/>
                  <w:ind w:left="235"/>
                  <w:jc w:val="center"/>
                  <w:rPr>
                    <w:rFonts w:ascii="Arial" w:hAnsi="Arial" w:cs="Arial"/>
                    <w:bCs/>
                    <w:color w:val="00B050"/>
                    <w:sz w:val="18"/>
                  </w:rPr>
                </w:pPr>
                <w:r w:rsidRPr="00EC172C">
                  <w:rPr>
                    <w:rFonts w:ascii="Arial" w:hAnsi="Arial" w:cs="Arial"/>
                    <w:bCs/>
                    <w:color w:val="00B050"/>
                    <w:sz w:val="18"/>
                  </w:rPr>
                  <w:t xml:space="preserve">Stævnen 9, 3.tv., </w:t>
                </w:r>
              </w:p>
              <w:p w14:paraId="4AED1416" w14:textId="77777777" w:rsidR="003B346E" w:rsidRPr="00EC172C" w:rsidRDefault="003B346E" w:rsidP="00EC172C">
                <w:pPr>
                  <w:pStyle w:val="Sidefod"/>
                  <w:ind w:left="235"/>
                  <w:jc w:val="center"/>
                  <w:rPr>
                    <w:rFonts w:ascii="Arial" w:hAnsi="Arial" w:cs="Arial"/>
                    <w:bCs/>
                    <w:color w:val="00B050"/>
                    <w:sz w:val="18"/>
                  </w:rPr>
                </w:pPr>
                <w:r w:rsidRPr="00EC172C">
                  <w:rPr>
                    <w:rFonts w:ascii="Arial" w:hAnsi="Arial" w:cs="Arial"/>
                    <w:bCs/>
                    <w:color w:val="00B050"/>
                    <w:sz w:val="18"/>
                  </w:rPr>
                  <w:t>7100 Vejle</w:t>
                </w:r>
              </w:p>
              <w:p w14:paraId="04286EA1" w14:textId="77777777" w:rsidR="003B346E" w:rsidRPr="00EC172C" w:rsidRDefault="00731355" w:rsidP="00EC172C">
                <w:pPr>
                  <w:pStyle w:val="Sidefod"/>
                  <w:ind w:left="235"/>
                  <w:jc w:val="center"/>
                  <w:rPr>
                    <w:rFonts w:ascii="Arial" w:hAnsi="Arial" w:cs="Arial"/>
                    <w:bCs/>
                    <w:color w:val="00B050"/>
                    <w:sz w:val="18"/>
                  </w:rPr>
                </w:pPr>
                <w:hyperlink r:id="rId2" w:history="1">
                  <w:r w:rsidR="003B346E" w:rsidRPr="00EC172C">
                    <w:rPr>
                      <w:rStyle w:val="Hyperlink"/>
                      <w:rFonts w:ascii="Arial" w:hAnsi="Arial" w:cs="Arial"/>
                      <w:bCs/>
                      <w:color w:val="00B050"/>
                      <w:sz w:val="18"/>
                    </w:rPr>
                    <w:t>www.miljohuset.dk</w:t>
                  </w:r>
                </w:hyperlink>
              </w:p>
            </w:tc>
            <w:tc>
              <w:tcPr>
                <w:tcW w:w="2345" w:type="dxa"/>
                <w:shd w:val="clear" w:color="auto" w:fill="auto"/>
              </w:tcPr>
              <w:p w14:paraId="20375F1E" w14:textId="1B4707EB" w:rsidR="003B346E" w:rsidRPr="00EC172C" w:rsidRDefault="003B346E" w:rsidP="00EC172C">
                <w:pPr>
                  <w:pStyle w:val="Sidefod"/>
                  <w:ind w:left="235"/>
                  <w:jc w:val="center"/>
                  <w:rPr>
                    <w:rFonts w:ascii="Arial" w:hAnsi="Arial" w:cs="Arial"/>
                    <w:bCs/>
                    <w:color w:val="00B050"/>
                    <w:sz w:val="18"/>
                  </w:rPr>
                </w:pPr>
              </w:p>
            </w:tc>
            <w:tc>
              <w:tcPr>
                <w:tcW w:w="2667" w:type="dxa"/>
                <w:shd w:val="clear" w:color="auto" w:fill="auto"/>
              </w:tcPr>
              <w:p w14:paraId="0748C1BE" w14:textId="77777777" w:rsidR="003B346E" w:rsidRPr="00EC172C" w:rsidRDefault="003B346E" w:rsidP="00EC172C">
                <w:pPr>
                  <w:pStyle w:val="Sidefod"/>
                  <w:ind w:left="235"/>
                  <w:jc w:val="center"/>
                  <w:rPr>
                    <w:rFonts w:ascii="Arial" w:hAnsi="Arial" w:cs="Arial"/>
                    <w:bCs/>
                    <w:color w:val="00B050"/>
                    <w:sz w:val="18"/>
                  </w:rPr>
                </w:pPr>
                <w:r w:rsidRPr="00EC172C">
                  <w:rPr>
                    <w:rFonts w:ascii="Arial" w:hAnsi="Arial" w:cs="Arial"/>
                    <w:bCs/>
                    <w:color w:val="00B050"/>
                    <w:sz w:val="18"/>
                  </w:rPr>
                  <w:t>Ulrik Hauger</w:t>
                </w:r>
              </w:p>
              <w:p w14:paraId="0D3D4036" w14:textId="77777777" w:rsidR="003B346E" w:rsidRPr="00EC172C" w:rsidRDefault="003B346E" w:rsidP="00EC172C">
                <w:pPr>
                  <w:pStyle w:val="Sidefod"/>
                  <w:ind w:left="235"/>
                  <w:jc w:val="center"/>
                  <w:rPr>
                    <w:rFonts w:ascii="Arial" w:hAnsi="Arial" w:cs="Arial"/>
                    <w:bCs/>
                    <w:color w:val="00B050"/>
                    <w:sz w:val="18"/>
                  </w:rPr>
                </w:pPr>
                <w:r w:rsidRPr="00EC172C">
                  <w:rPr>
                    <w:rFonts w:ascii="Arial" w:hAnsi="Arial" w:cs="Arial"/>
                    <w:bCs/>
                    <w:color w:val="00B050"/>
                    <w:sz w:val="18"/>
                  </w:rPr>
                  <w:t>Tlf. 61301327</w:t>
                </w:r>
              </w:p>
              <w:p w14:paraId="01D51536" w14:textId="77777777" w:rsidR="003B346E" w:rsidRPr="00EC172C" w:rsidRDefault="003B346E" w:rsidP="00EC172C">
                <w:pPr>
                  <w:pStyle w:val="Sidefod"/>
                  <w:ind w:left="235"/>
                  <w:jc w:val="center"/>
                  <w:rPr>
                    <w:rFonts w:ascii="Arial" w:hAnsi="Arial" w:cs="Arial"/>
                    <w:bCs/>
                    <w:color w:val="00B050"/>
                    <w:sz w:val="18"/>
                  </w:rPr>
                </w:pPr>
                <w:r w:rsidRPr="00EC172C">
                  <w:rPr>
                    <w:rFonts w:ascii="Arial" w:hAnsi="Arial" w:cs="Arial"/>
                    <w:bCs/>
                    <w:color w:val="00B050"/>
                    <w:sz w:val="18"/>
                  </w:rPr>
                  <w:t>ulrik@miljohuset.dk</w:t>
                </w:r>
              </w:p>
            </w:tc>
          </w:tr>
        </w:tbl>
        <w:p w14:paraId="7554D1F5" w14:textId="77777777" w:rsidR="003B346E" w:rsidRPr="00EE6C3A" w:rsidRDefault="003B346E" w:rsidP="00F76A53">
          <w:pPr>
            <w:pStyle w:val="Sidefod"/>
            <w:jc w:val="center"/>
            <w:rPr>
              <w:rFonts w:ascii="Arial" w:hAnsi="Arial" w:cs="Arial"/>
              <w:b/>
              <w:bCs/>
              <w:color w:val="00B050"/>
              <w:sz w:val="20"/>
            </w:rPr>
          </w:pPr>
        </w:p>
      </w:tc>
    </w:tr>
  </w:tbl>
  <w:p w14:paraId="07FD108E" w14:textId="77777777" w:rsidR="003B346E" w:rsidRPr="00441C9C" w:rsidRDefault="003B346E" w:rsidP="00EC172C">
    <w:pPr>
      <w:pStyle w:val="Sidefod"/>
      <w:ind w:right="360"/>
      <w:rPr>
        <w:rFonts w:ascii="Arial" w:hAnsi="Arial"/>
        <w:b/>
        <w:color w:val="00B05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14B3" w14:textId="77777777" w:rsidR="00731355" w:rsidRDefault="00731355">
      <w:r>
        <w:separator/>
      </w:r>
    </w:p>
  </w:footnote>
  <w:footnote w:type="continuationSeparator" w:id="0">
    <w:p w14:paraId="3D2F36BF" w14:textId="77777777" w:rsidR="00731355" w:rsidRDefault="007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AD9"/>
    <w:multiLevelType w:val="hybridMultilevel"/>
    <w:tmpl w:val="3B2A3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48DC"/>
    <w:multiLevelType w:val="hybridMultilevel"/>
    <w:tmpl w:val="D4C874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253B"/>
    <w:multiLevelType w:val="hybridMultilevel"/>
    <w:tmpl w:val="F0DA6532"/>
    <w:lvl w:ilvl="0" w:tplc="98403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AA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9AC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25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94E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287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C46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A67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E4496"/>
    <w:multiLevelType w:val="hybridMultilevel"/>
    <w:tmpl w:val="007AAB02"/>
    <w:lvl w:ilvl="0" w:tplc="29BC5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94A"/>
    <w:multiLevelType w:val="hybridMultilevel"/>
    <w:tmpl w:val="3C90B1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CAC"/>
    <w:multiLevelType w:val="singleLevel"/>
    <w:tmpl w:val="E97CF9D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5"/>
        <w:u w:val="none"/>
      </w:rPr>
    </w:lvl>
  </w:abstractNum>
  <w:abstractNum w:abstractNumId="6" w15:restartNumberingAfterBreak="0">
    <w:nsid w:val="1AF31D4D"/>
    <w:multiLevelType w:val="hybridMultilevel"/>
    <w:tmpl w:val="95963E60"/>
    <w:lvl w:ilvl="0" w:tplc="38B26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3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420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E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468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2E2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18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D22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0A3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033C2"/>
    <w:multiLevelType w:val="hybridMultilevel"/>
    <w:tmpl w:val="D89C5B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5DE"/>
    <w:multiLevelType w:val="hybridMultilevel"/>
    <w:tmpl w:val="3BCEBEE8"/>
    <w:lvl w:ilvl="0" w:tplc="7E586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044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1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FC8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927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480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A1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9CC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9CF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62D01"/>
    <w:multiLevelType w:val="hybridMultilevel"/>
    <w:tmpl w:val="803E4908"/>
    <w:lvl w:ilvl="0" w:tplc="2D64B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AF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802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F4A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2E9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A9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2A0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1AA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1C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451F5"/>
    <w:multiLevelType w:val="hybridMultilevel"/>
    <w:tmpl w:val="D41E3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521C"/>
    <w:multiLevelType w:val="hybridMultilevel"/>
    <w:tmpl w:val="2FC85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A1D68"/>
    <w:multiLevelType w:val="hybridMultilevel"/>
    <w:tmpl w:val="60309ED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835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AA2E49"/>
    <w:multiLevelType w:val="hybridMultilevel"/>
    <w:tmpl w:val="0B02C40C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153"/>
    <w:multiLevelType w:val="hybridMultilevel"/>
    <w:tmpl w:val="0CA0BB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F4C77"/>
    <w:multiLevelType w:val="hybridMultilevel"/>
    <w:tmpl w:val="60CE30E6"/>
    <w:lvl w:ilvl="0" w:tplc="4C783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A4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1C1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6B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C6D6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87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D81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00B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102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E49A8"/>
    <w:multiLevelType w:val="hybridMultilevel"/>
    <w:tmpl w:val="EA38EE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FD70A1"/>
    <w:multiLevelType w:val="hybridMultilevel"/>
    <w:tmpl w:val="2D428892"/>
    <w:lvl w:ilvl="0" w:tplc="A954A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8E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86C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6A5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4C1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A9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4C1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1A5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DE9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06041"/>
    <w:multiLevelType w:val="hybridMultilevel"/>
    <w:tmpl w:val="CF349C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D2D06"/>
    <w:multiLevelType w:val="hybridMultilevel"/>
    <w:tmpl w:val="11A67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3A0C"/>
    <w:multiLevelType w:val="hybridMultilevel"/>
    <w:tmpl w:val="260A99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CF9F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A06D65"/>
    <w:multiLevelType w:val="singleLevel"/>
    <w:tmpl w:val="32D8FB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5"/>
        <w:u w:val="none"/>
      </w:rPr>
    </w:lvl>
  </w:abstractNum>
  <w:abstractNum w:abstractNumId="23" w15:restartNumberingAfterBreak="0">
    <w:nsid w:val="4F7E68DD"/>
    <w:multiLevelType w:val="hybridMultilevel"/>
    <w:tmpl w:val="87CE53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1E6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E046D3"/>
    <w:multiLevelType w:val="hybridMultilevel"/>
    <w:tmpl w:val="7E306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F72B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14563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D62807"/>
    <w:multiLevelType w:val="hybridMultilevel"/>
    <w:tmpl w:val="82AEBF22"/>
    <w:lvl w:ilvl="0" w:tplc="764CE5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9" w15:restartNumberingAfterBreak="0">
    <w:nsid w:val="591A0B3B"/>
    <w:multiLevelType w:val="hybridMultilevel"/>
    <w:tmpl w:val="19509C74"/>
    <w:lvl w:ilvl="0" w:tplc="83049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61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FE0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6E4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923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0A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0CF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B41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B24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297116"/>
    <w:multiLevelType w:val="hybridMultilevel"/>
    <w:tmpl w:val="DE6C6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76FD2"/>
    <w:multiLevelType w:val="hybridMultilevel"/>
    <w:tmpl w:val="50B229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22DE0"/>
    <w:multiLevelType w:val="hybridMultilevel"/>
    <w:tmpl w:val="6276BDFC"/>
    <w:lvl w:ilvl="0" w:tplc="E9D2D5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7B3421"/>
    <w:multiLevelType w:val="hybridMultilevel"/>
    <w:tmpl w:val="03981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94E85"/>
    <w:multiLevelType w:val="hybridMultilevel"/>
    <w:tmpl w:val="1C1472A8"/>
    <w:lvl w:ilvl="0" w:tplc="6B8EB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123D"/>
    <w:multiLevelType w:val="hybridMultilevel"/>
    <w:tmpl w:val="21C87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707B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3E0056"/>
    <w:multiLevelType w:val="hybridMultilevel"/>
    <w:tmpl w:val="44389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16389"/>
    <w:multiLevelType w:val="hybridMultilevel"/>
    <w:tmpl w:val="90F46B2E"/>
    <w:lvl w:ilvl="0" w:tplc="D35E3DCC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382A"/>
    <w:multiLevelType w:val="hybridMultilevel"/>
    <w:tmpl w:val="ADD415A0"/>
    <w:lvl w:ilvl="0" w:tplc="764CE5EE">
      <w:start w:val="1"/>
      <w:numFmt w:val="bullet"/>
      <w:lvlText w:val=""/>
      <w:lvlJc w:val="left"/>
      <w:pPr>
        <w:tabs>
          <w:tab w:val="num" w:pos="2684"/>
        </w:tabs>
        <w:ind w:left="26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40" w15:restartNumberingAfterBreak="0">
    <w:nsid w:val="7C6624F0"/>
    <w:multiLevelType w:val="hybridMultilevel"/>
    <w:tmpl w:val="7E48EF0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36"/>
  </w:num>
  <w:num w:numId="5">
    <w:abstractNumId w:val="26"/>
  </w:num>
  <w:num w:numId="6">
    <w:abstractNumId w:val="27"/>
  </w:num>
  <w:num w:numId="7">
    <w:abstractNumId w:val="13"/>
  </w:num>
  <w:num w:numId="8">
    <w:abstractNumId w:val="40"/>
  </w:num>
  <w:num w:numId="9">
    <w:abstractNumId w:val="19"/>
  </w:num>
  <w:num w:numId="10">
    <w:abstractNumId w:val="12"/>
  </w:num>
  <w:num w:numId="11">
    <w:abstractNumId w:val="17"/>
  </w:num>
  <w:num w:numId="12">
    <w:abstractNumId w:val="31"/>
  </w:num>
  <w:num w:numId="13">
    <w:abstractNumId w:val="38"/>
  </w:num>
  <w:num w:numId="14">
    <w:abstractNumId w:val="39"/>
  </w:num>
  <w:num w:numId="15">
    <w:abstractNumId w:val="28"/>
  </w:num>
  <w:num w:numId="16">
    <w:abstractNumId w:val="2"/>
  </w:num>
  <w:num w:numId="17">
    <w:abstractNumId w:val="29"/>
  </w:num>
  <w:num w:numId="18">
    <w:abstractNumId w:val="16"/>
  </w:num>
  <w:num w:numId="19">
    <w:abstractNumId w:val="8"/>
  </w:num>
  <w:num w:numId="20">
    <w:abstractNumId w:val="18"/>
  </w:num>
  <w:num w:numId="21">
    <w:abstractNumId w:val="9"/>
  </w:num>
  <w:num w:numId="22">
    <w:abstractNumId w:val="6"/>
  </w:num>
  <w:num w:numId="23">
    <w:abstractNumId w:val="21"/>
  </w:num>
  <w:num w:numId="24">
    <w:abstractNumId w:val="37"/>
  </w:num>
  <w:num w:numId="25">
    <w:abstractNumId w:val="25"/>
  </w:num>
  <w:num w:numId="26">
    <w:abstractNumId w:val="0"/>
  </w:num>
  <w:num w:numId="27">
    <w:abstractNumId w:val="33"/>
  </w:num>
  <w:num w:numId="28">
    <w:abstractNumId w:val="30"/>
  </w:num>
  <w:num w:numId="29">
    <w:abstractNumId w:val="7"/>
  </w:num>
  <w:num w:numId="30">
    <w:abstractNumId w:val="11"/>
  </w:num>
  <w:num w:numId="31">
    <w:abstractNumId w:val="15"/>
  </w:num>
  <w:num w:numId="32">
    <w:abstractNumId w:val="3"/>
  </w:num>
  <w:num w:numId="33">
    <w:abstractNumId w:val="34"/>
  </w:num>
  <w:num w:numId="34">
    <w:abstractNumId w:val="4"/>
  </w:num>
  <w:num w:numId="35">
    <w:abstractNumId w:val="35"/>
  </w:num>
  <w:num w:numId="36">
    <w:abstractNumId w:val="23"/>
  </w:num>
  <w:num w:numId="37">
    <w:abstractNumId w:val="32"/>
  </w:num>
  <w:num w:numId="38">
    <w:abstractNumId w:val="14"/>
  </w:num>
  <w:num w:numId="39">
    <w:abstractNumId w:val="20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48"/>
    <w:rsid w:val="00004B58"/>
    <w:rsid w:val="00010A71"/>
    <w:rsid w:val="000134AC"/>
    <w:rsid w:val="00030BFF"/>
    <w:rsid w:val="00040767"/>
    <w:rsid w:val="00044A3C"/>
    <w:rsid w:val="00050E08"/>
    <w:rsid w:val="00055563"/>
    <w:rsid w:val="000610ED"/>
    <w:rsid w:val="00064DEB"/>
    <w:rsid w:val="00066D89"/>
    <w:rsid w:val="000704BD"/>
    <w:rsid w:val="00082E99"/>
    <w:rsid w:val="00092E82"/>
    <w:rsid w:val="000954D3"/>
    <w:rsid w:val="000A009F"/>
    <w:rsid w:val="000B0EB4"/>
    <w:rsid w:val="000C235A"/>
    <w:rsid w:val="000C31C4"/>
    <w:rsid w:val="000C62E6"/>
    <w:rsid w:val="000C6756"/>
    <w:rsid w:val="000D101D"/>
    <w:rsid w:val="000E27FD"/>
    <w:rsid w:val="000E4435"/>
    <w:rsid w:val="000F3B97"/>
    <w:rsid w:val="00100740"/>
    <w:rsid w:val="00103188"/>
    <w:rsid w:val="00103F1F"/>
    <w:rsid w:val="0011500E"/>
    <w:rsid w:val="00121C88"/>
    <w:rsid w:val="00131E0B"/>
    <w:rsid w:val="00131E7E"/>
    <w:rsid w:val="00145ACD"/>
    <w:rsid w:val="00150707"/>
    <w:rsid w:val="00176D39"/>
    <w:rsid w:val="00183E0F"/>
    <w:rsid w:val="00185731"/>
    <w:rsid w:val="00191A18"/>
    <w:rsid w:val="001A3396"/>
    <w:rsid w:val="001B311A"/>
    <w:rsid w:val="001B6948"/>
    <w:rsid w:val="001C51D6"/>
    <w:rsid w:val="001C7AD9"/>
    <w:rsid w:val="001D296F"/>
    <w:rsid w:val="001D7A97"/>
    <w:rsid w:val="001E1CE6"/>
    <w:rsid w:val="001F154D"/>
    <w:rsid w:val="002146B3"/>
    <w:rsid w:val="00227E5F"/>
    <w:rsid w:val="00232AEB"/>
    <w:rsid w:val="00260EC8"/>
    <w:rsid w:val="00261823"/>
    <w:rsid w:val="00261D7B"/>
    <w:rsid w:val="002730DE"/>
    <w:rsid w:val="00273B3C"/>
    <w:rsid w:val="00275B87"/>
    <w:rsid w:val="00275E98"/>
    <w:rsid w:val="0029659F"/>
    <w:rsid w:val="002B4AEC"/>
    <w:rsid w:val="002B50B9"/>
    <w:rsid w:val="002B5308"/>
    <w:rsid w:val="002C1168"/>
    <w:rsid w:val="002C2B93"/>
    <w:rsid w:val="002C4C9A"/>
    <w:rsid w:val="002D2A58"/>
    <w:rsid w:val="002E02AB"/>
    <w:rsid w:val="002E3E9F"/>
    <w:rsid w:val="003035F8"/>
    <w:rsid w:val="00325A1F"/>
    <w:rsid w:val="0033427D"/>
    <w:rsid w:val="0033774B"/>
    <w:rsid w:val="0034726C"/>
    <w:rsid w:val="00352F72"/>
    <w:rsid w:val="00371CE2"/>
    <w:rsid w:val="0039329A"/>
    <w:rsid w:val="003A090A"/>
    <w:rsid w:val="003A33C2"/>
    <w:rsid w:val="003A62F7"/>
    <w:rsid w:val="003B346E"/>
    <w:rsid w:val="003B5249"/>
    <w:rsid w:val="003D24F8"/>
    <w:rsid w:val="003E2F21"/>
    <w:rsid w:val="003F351F"/>
    <w:rsid w:val="003F7DB2"/>
    <w:rsid w:val="00412A91"/>
    <w:rsid w:val="00413CB8"/>
    <w:rsid w:val="00414FE9"/>
    <w:rsid w:val="004171D3"/>
    <w:rsid w:val="00424E48"/>
    <w:rsid w:val="00441C9C"/>
    <w:rsid w:val="00446084"/>
    <w:rsid w:val="004535D8"/>
    <w:rsid w:val="00453A9E"/>
    <w:rsid w:val="004542A6"/>
    <w:rsid w:val="004609FA"/>
    <w:rsid w:val="00491926"/>
    <w:rsid w:val="00496896"/>
    <w:rsid w:val="004B6629"/>
    <w:rsid w:val="004C49EF"/>
    <w:rsid w:val="004C56B7"/>
    <w:rsid w:val="004D28EF"/>
    <w:rsid w:val="004E10E3"/>
    <w:rsid w:val="0050288C"/>
    <w:rsid w:val="00507FD6"/>
    <w:rsid w:val="00516A6E"/>
    <w:rsid w:val="00524BC1"/>
    <w:rsid w:val="0052665B"/>
    <w:rsid w:val="005354CC"/>
    <w:rsid w:val="005359C6"/>
    <w:rsid w:val="00535E97"/>
    <w:rsid w:val="00541447"/>
    <w:rsid w:val="00541A02"/>
    <w:rsid w:val="00546661"/>
    <w:rsid w:val="005553AB"/>
    <w:rsid w:val="00565C6F"/>
    <w:rsid w:val="00584E07"/>
    <w:rsid w:val="0059430D"/>
    <w:rsid w:val="005A055C"/>
    <w:rsid w:val="005A1BE2"/>
    <w:rsid w:val="005A56C8"/>
    <w:rsid w:val="005A6BCF"/>
    <w:rsid w:val="005B68E3"/>
    <w:rsid w:val="005C2257"/>
    <w:rsid w:val="005C24C2"/>
    <w:rsid w:val="005D073C"/>
    <w:rsid w:val="005D75F8"/>
    <w:rsid w:val="005E1C2F"/>
    <w:rsid w:val="005E3F0A"/>
    <w:rsid w:val="005E6A32"/>
    <w:rsid w:val="005F43CE"/>
    <w:rsid w:val="005F6793"/>
    <w:rsid w:val="00602F64"/>
    <w:rsid w:val="00616F2F"/>
    <w:rsid w:val="006201F3"/>
    <w:rsid w:val="0062075F"/>
    <w:rsid w:val="00621236"/>
    <w:rsid w:val="00630760"/>
    <w:rsid w:val="006432BD"/>
    <w:rsid w:val="00643877"/>
    <w:rsid w:val="006516DB"/>
    <w:rsid w:val="00653A58"/>
    <w:rsid w:val="00656F26"/>
    <w:rsid w:val="006602C2"/>
    <w:rsid w:val="00660D0E"/>
    <w:rsid w:val="0066721F"/>
    <w:rsid w:val="00680F79"/>
    <w:rsid w:val="00690F69"/>
    <w:rsid w:val="00694148"/>
    <w:rsid w:val="006976E0"/>
    <w:rsid w:val="006A2B64"/>
    <w:rsid w:val="006C0469"/>
    <w:rsid w:val="006E5D94"/>
    <w:rsid w:val="007044B1"/>
    <w:rsid w:val="0070613B"/>
    <w:rsid w:val="00713700"/>
    <w:rsid w:val="00713A47"/>
    <w:rsid w:val="00714C03"/>
    <w:rsid w:val="00724938"/>
    <w:rsid w:val="007255F6"/>
    <w:rsid w:val="007304C0"/>
    <w:rsid w:val="00731355"/>
    <w:rsid w:val="00734550"/>
    <w:rsid w:val="00734F41"/>
    <w:rsid w:val="0073555D"/>
    <w:rsid w:val="007373D1"/>
    <w:rsid w:val="007373F8"/>
    <w:rsid w:val="0074227D"/>
    <w:rsid w:val="00747E66"/>
    <w:rsid w:val="0075311F"/>
    <w:rsid w:val="00756786"/>
    <w:rsid w:val="00770964"/>
    <w:rsid w:val="007749FD"/>
    <w:rsid w:val="0077691D"/>
    <w:rsid w:val="00792954"/>
    <w:rsid w:val="007A22E8"/>
    <w:rsid w:val="007A6E4B"/>
    <w:rsid w:val="007B075E"/>
    <w:rsid w:val="007C14BC"/>
    <w:rsid w:val="007C449B"/>
    <w:rsid w:val="007D07F1"/>
    <w:rsid w:val="007D4939"/>
    <w:rsid w:val="007E5152"/>
    <w:rsid w:val="007F3246"/>
    <w:rsid w:val="008044D4"/>
    <w:rsid w:val="00805D8F"/>
    <w:rsid w:val="00807A81"/>
    <w:rsid w:val="0081019C"/>
    <w:rsid w:val="00811077"/>
    <w:rsid w:val="00813417"/>
    <w:rsid w:val="0082185C"/>
    <w:rsid w:val="00822BF0"/>
    <w:rsid w:val="00831A39"/>
    <w:rsid w:val="00834ED6"/>
    <w:rsid w:val="00835E07"/>
    <w:rsid w:val="0084665F"/>
    <w:rsid w:val="008472D6"/>
    <w:rsid w:val="00855247"/>
    <w:rsid w:val="008737B4"/>
    <w:rsid w:val="0088056C"/>
    <w:rsid w:val="00880931"/>
    <w:rsid w:val="00880BAA"/>
    <w:rsid w:val="00891460"/>
    <w:rsid w:val="008974F3"/>
    <w:rsid w:val="008A0BB8"/>
    <w:rsid w:val="008A2132"/>
    <w:rsid w:val="008A2629"/>
    <w:rsid w:val="008B5421"/>
    <w:rsid w:val="008B7F4C"/>
    <w:rsid w:val="008C4A46"/>
    <w:rsid w:val="008C64F4"/>
    <w:rsid w:val="008C73EF"/>
    <w:rsid w:val="008D1ACD"/>
    <w:rsid w:val="008E2871"/>
    <w:rsid w:val="008E5EBD"/>
    <w:rsid w:val="008F0AF3"/>
    <w:rsid w:val="0090648F"/>
    <w:rsid w:val="00911B12"/>
    <w:rsid w:val="00923FFD"/>
    <w:rsid w:val="009265C3"/>
    <w:rsid w:val="009344ED"/>
    <w:rsid w:val="00943161"/>
    <w:rsid w:val="00944D98"/>
    <w:rsid w:val="00946077"/>
    <w:rsid w:val="00952658"/>
    <w:rsid w:val="0096220C"/>
    <w:rsid w:val="009624F0"/>
    <w:rsid w:val="00964502"/>
    <w:rsid w:val="009818F3"/>
    <w:rsid w:val="00983323"/>
    <w:rsid w:val="00995AF2"/>
    <w:rsid w:val="009A0905"/>
    <w:rsid w:val="009A1F8E"/>
    <w:rsid w:val="009B1647"/>
    <w:rsid w:val="009E314D"/>
    <w:rsid w:val="009F1653"/>
    <w:rsid w:val="009F2CB9"/>
    <w:rsid w:val="009F3A6A"/>
    <w:rsid w:val="00A14CDF"/>
    <w:rsid w:val="00A220AA"/>
    <w:rsid w:val="00A22631"/>
    <w:rsid w:val="00A308E1"/>
    <w:rsid w:val="00A30C82"/>
    <w:rsid w:val="00A32845"/>
    <w:rsid w:val="00A32AF5"/>
    <w:rsid w:val="00A42EF7"/>
    <w:rsid w:val="00A452D6"/>
    <w:rsid w:val="00A50F4C"/>
    <w:rsid w:val="00A53B28"/>
    <w:rsid w:val="00A579A6"/>
    <w:rsid w:val="00A62CA1"/>
    <w:rsid w:val="00A71D2F"/>
    <w:rsid w:val="00A72401"/>
    <w:rsid w:val="00A74455"/>
    <w:rsid w:val="00A75488"/>
    <w:rsid w:val="00A75E8B"/>
    <w:rsid w:val="00A80F9B"/>
    <w:rsid w:val="00A94429"/>
    <w:rsid w:val="00A95F28"/>
    <w:rsid w:val="00AA77C3"/>
    <w:rsid w:val="00AB2C80"/>
    <w:rsid w:val="00AB4F78"/>
    <w:rsid w:val="00AC3999"/>
    <w:rsid w:val="00AD1A1F"/>
    <w:rsid w:val="00AD7845"/>
    <w:rsid w:val="00AE3678"/>
    <w:rsid w:val="00B00DEF"/>
    <w:rsid w:val="00B00E8F"/>
    <w:rsid w:val="00B03319"/>
    <w:rsid w:val="00B041D5"/>
    <w:rsid w:val="00B05903"/>
    <w:rsid w:val="00B21E1F"/>
    <w:rsid w:val="00B22B03"/>
    <w:rsid w:val="00B32CC4"/>
    <w:rsid w:val="00B345F8"/>
    <w:rsid w:val="00B3738A"/>
    <w:rsid w:val="00B40D00"/>
    <w:rsid w:val="00B40D13"/>
    <w:rsid w:val="00B423FC"/>
    <w:rsid w:val="00B430D0"/>
    <w:rsid w:val="00B4379D"/>
    <w:rsid w:val="00B471E6"/>
    <w:rsid w:val="00B47FF3"/>
    <w:rsid w:val="00B55E09"/>
    <w:rsid w:val="00B67DDF"/>
    <w:rsid w:val="00B7350D"/>
    <w:rsid w:val="00B8462D"/>
    <w:rsid w:val="00B85545"/>
    <w:rsid w:val="00B86358"/>
    <w:rsid w:val="00B87454"/>
    <w:rsid w:val="00B91F79"/>
    <w:rsid w:val="00B97AFD"/>
    <w:rsid w:val="00BB0E7E"/>
    <w:rsid w:val="00BB4977"/>
    <w:rsid w:val="00BC11B1"/>
    <w:rsid w:val="00BC2CB4"/>
    <w:rsid w:val="00BC367D"/>
    <w:rsid w:val="00BC42B7"/>
    <w:rsid w:val="00BC6F10"/>
    <w:rsid w:val="00BD0330"/>
    <w:rsid w:val="00BE29F6"/>
    <w:rsid w:val="00BF4DDE"/>
    <w:rsid w:val="00BF58CA"/>
    <w:rsid w:val="00C07E01"/>
    <w:rsid w:val="00C10DC1"/>
    <w:rsid w:val="00C15408"/>
    <w:rsid w:val="00C237FC"/>
    <w:rsid w:val="00C42782"/>
    <w:rsid w:val="00C52784"/>
    <w:rsid w:val="00C5319A"/>
    <w:rsid w:val="00C53599"/>
    <w:rsid w:val="00C55FDB"/>
    <w:rsid w:val="00C575B7"/>
    <w:rsid w:val="00C62B04"/>
    <w:rsid w:val="00C63D14"/>
    <w:rsid w:val="00C648BA"/>
    <w:rsid w:val="00C7309B"/>
    <w:rsid w:val="00C74F02"/>
    <w:rsid w:val="00C811B5"/>
    <w:rsid w:val="00C92AFC"/>
    <w:rsid w:val="00C95422"/>
    <w:rsid w:val="00C95D38"/>
    <w:rsid w:val="00CA128A"/>
    <w:rsid w:val="00CA77EA"/>
    <w:rsid w:val="00CB6873"/>
    <w:rsid w:val="00CC42B2"/>
    <w:rsid w:val="00CC6CD8"/>
    <w:rsid w:val="00CD596D"/>
    <w:rsid w:val="00CE0048"/>
    <w:rsid w:val="00CE0678"/>
    <w:rsid w:val="00CF71FD"/>
    <w:rsid w:val="00CF7D94"/>
    <w:rsid w:val="00D10263"/>
    <w:rsid w:val="00D129E1"/>
    <w:rsid w:val="00D1450F"/>
    <w:rsid w:val="00D14997"/>
    <w:rsid w:val="00D1792F"/>
    <w:rsid w:val="00D220C9"/>
    <w:rsid w:val="00D43913"/>
    <w:rsid w:val="00D474F5"/>
    <w:rsid w:val="00D52E14"/>
    <w:rsid w:val="00D5670C"/>
    <w:rsid w:val="00D709BD"/>
    <w:rsid w:val="00D83E18"/>
    <w:rsid w:val="00D83E9A"/>
    <w:rsid w:val="00D95FCD"/>
    <w:rsid w:val="00DA437A"/>
    <w:rsid w:val="00DA7878"/>
    <w:rsid w:val="00DB3B63"/>
    <w:rsid w:val="00DB3D44"/>
    <w:rsid w:val="00DB7C84"/>
    <w:rsid w:val="00DD676A"/>
    <w:rsid w:val="00DF1CE4"/>
    <w:rsid w:val="00E10BF0"/>
    <w:rsid w:val="00E129BD"/>
    <w:rsid w:val="00E13A17"/>
    <w:rsid w:val="00E14D93"/>
    <w:rsid w:val="00E2407E"/>
    <w:rsid w:val="00E34E80"/>
    <w:rsid w:val="00E37919"/>
    <w:rsid w:val="00E54006"/>
    <w:rsid w:val="00E74C48"/>
    <w:rsid w:val="00E851F5"/>
    <w:rsid w:val="00E908AA"/>
    <w:rsid w:val="00E9502C"/>
    <w:rsid w:val="00E96943"/>
    <w:rsid w:val="00E97134"/>
    <w:rsid w:val="00EA3C0A"/>
    <w:rsid w:val="00EB2FF0"/>
    <w:rsid w:val="00EC07B7"/>
    <w:rsid w:val="00EC172C"/>
    <w:rsid w:val="00ED1714"/>
    <w:rsid w:val="00EE4B0D"/>
    <w:rsid w:val="00EF6802"/>
    <w:rsid w:val="00F02907"/>
    <w:rsid w:val="00F114BB"/>
    <w:rsid w:val="00F136A7"/>
    <w:rsid w:val="00F204AF"/>
    <w:rsid w:val="00F241F2"/>
    <w:rsid w:val="00F30A93"/>
    <w:rsid w:val="00F30C28"/>
    <w:rsid w:val="00F35806"/>
    <w:rsid w:val="00F41D20"/>
    <w:rsid w:val="00F47107"/>
    <w:rsid w:val="00F547F0"/>
    <w:rsid w:val="00F631B7"/>
    <w:rsid w:val="00F633CE"/>
    <w:rsid w:val="00F65EC2"/>
    <w:rsid w:val="00F67398"/>
    <w:rsid w:val="00F76A53"/>
    <w:rsid w:val="00F863E6"/>
    <w:rsid w:val="00FA3797"/>
    <w:rsid w:val="00FA40F6"/>
    <w:rsid w:val="00FA4CD3"/>
    <w:rsid w:val="00FA7BAE"/>
    <w:rsid w:val="00FB15E3"/>
    <w:rsid w:val="00FB67D1"/>
    <w:rsid w:val="00FC0C9B"/>
    <w:rsid w:val="00FC5DF7"/>
    <w:rsid w:val="00FC78FC"/>
    <w:rsid w:val="00FD0A61"/>
    <w:rsid w:val="00FE1742"/>
    <w:rsid w:val="00FE337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66F36"/>
  <w15:chartTrackingRefBased/>
  <w15:docId w15:val="{B173E950-289A-4F83-B5D5-D0124CB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olor w:val="000000"/>
      <w:sz w:val="34"/>
      <w:szCs w:val="4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8000"/>
      <w:sz w:val="11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26"/>
      <w:u w:val="single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30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6"/>
    </w:rPr>
  </w:style>
  <w:style w:type="paragraph" w:styleId="Titel">
    <w:name w:val="Title"/>
    <w:basedOn w:val="Normal"/>
    <w:qFormat/>
    <w:pPr>
      <w:jc w:val="center"/>
    </w:pPr>
    <w:rPr>
      <w:sz w:val="40"/>
    </w:rPr>
  </w:style>
  <w:style w:type="paragraph" w:styleId="Indholdsfortegnelse1">
    <w:name w:val="toc 1"/>
    <w:basedOn w:val="Normal"/>
    <w:next w:val="Normal"/>
    <w:autoRedefine/>
    <w:uiPriority w:val="39"/>
    <w:rPr>
      <w:sz w:val="28"/>
    </w:rPr>
  </w:style>
  <w:style w:type="paragraph" w:styleId="Indholdsfortegnelse2">
    <w:name w:val="toc 2"/>
    <w:basedOn w:val="Normal"/>
    <w:next w:val="Normal"/>
    <w:autoRedefine/>
    <w:uiPriority w:val="39"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auto"/>
      <w:sz w:val="28"/>
      <w:u w:val="none"/>
    </w:rPr>
  </w:style>
  <w:style w:type="character" w:styleId="Sidetal">
    <w:name w:val="page number"/>
    <w:basedOn w:val="Standardskrifttypeiafsnit"/>
  </w:style>
  <w:style w:type="paragraph" w:styleId="Brdtekst2">
    <w:name w:val="Body Text 2"/>
    <w:basedOn w:val="Normal"/>
    <w:rPr>
      <w:sz w:val="28"/>
    </w:rPr>
  </w:style>
  <w:style w:type="character" w:customStyle="1" w:styleId="BesgtHyperlink">
    <w:name w:val="BesøgtHyperlink"/>
    <w:rPr>
      <w:color w:val="800080"/>
      <w:u w:val="single"/>
    </w:rPr>
  </w:style>
  <w:style w:type="character" w:customStyle="1" w:styleId="clsresulturl">
    <w:name w:val="clsresulturl"/>
    <w:rPr>
      <w:rFonts w:ascii="Arial" w:hAnsi="Arial" w:cs="Arial" w:hint="default"/>
      <w:i/>
      <w:iCs/>
      <w:color w:val="777777"/>
    </w:rPr>
  </w:style>
  <w:style w:type="paragraph" w:styleId="Brdtekst3">
    <w:name w:val="Body Text 3"/>
    <w:basedOn w:val="Normal"/>
    <w:rPr>
      <w:b/>
      <w:bCs/>
      <w:sz w:val="28"/>
    </w:rPr>
  </w:style>
  <w:style w:type="table" w:styleId="Tabel-Gitter">
    <w:name w:val="Table Grid"/>
    <w:basedOn w:val="Tabel-Normal"/>
    <w:rsid w:val="003342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uiPriority w:val="22"/>
    <w:qFormat/>
    <w:rsid w:val="009265C3"/>
    <w:rPr>
      <w:b/>
      <w:bCs/>
    </w:rPr>
  </w:style>
  <w:style w:type="character" w:styleId="Fremhv">
    <w:name w:val="Emphasis"/>
    <w:uiPriority w:val="20"/>
    <w:qFormat/>
    <w:rsid w:val="009265C3"/>
    <w:rPr>
      <w:i/>
      <w:iCs/>
    </w:rPr>
  </w:style>
  <w:style w:type="character" w:customStyle="1" w:styleId="SidefodTegn">
    <w:name w:val="Sidefod Tegn"/>
    <w:link w:val="Sidefod"/>
    <w:rsid w:val="00EC172C"/>
    <w:rPr>
      <w:sz w:val="24"/>
    </w:rPr>
  </w:style>
  <w:style w:type="paragraph" w:styleId="Listeafsnit">
    <w:name w:val="List Paragraph"/>
    <w:basedOn w:val="Normal"/>
    <w:uiPriority w:val="34"/>
    <w:qFormat/>
    <w:rsid w:val="0098332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A1F8E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rsid w:val="0062075F"/>
    <w:rPr>
      <w:color w:val="954F72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B0590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semiHidden/>
    <w:unhideWhenUsed/>
    <w:rsid w:val="00CD596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D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image" Target="media/image14.jpg"/><Relationship Id="rId39" Type="http://schemas.openxmlformats.org/officeDocument/2006/relationships/image" Target="media/image27.jpeg"/><Relationship Id="rId21" Type="http://schemas.openxmlformats.org/officeDocument/2006/relationships/image" Target="media/image11.pn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ohuset.dk/politikker-og-beredskabsplaner2/" TargetMode="External"/><Relationship Id="rId24" Type="http://schemas.openxmlformats.org/officeDocument/2006/relationships/hyperlink" Target="http://www.miljohuset.dk/datablade-vaerksteder/" TargetMode="External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image" Target="media/image19.jpe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ljohuset.dk/psykisk-arbejdsmiljo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5.jp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footer" Target="footer1.xml"/><Relationship Id="rId8" Type="http://schemas.openxmlformats.org/officeDocument/2006/relationships/hyperlink" Target="http://www.miljohuset.dk/arbejdsmiljoinstruktioner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miljohuset.dk/datablade-vaerksteder/" TargetMode="External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image" Target="media/image2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johuset.dk" TargetMode="External"/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3760-BCC2-44F1-837E-A1BC926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ARBEJDSMILJØETS HOVEDOMRÅDER</vt:lpstr>
    </vt:vector>
  </TitlesOfParts>
  <Company/>
  <LinksUpToDate>false</LinksUpToDate>
  <CharactersWithSpaces>7937</CharactersWithSpaces>
  <SharedDoc>false</SharedDoc>
  <HLinks>
    <vt:vector size="60" baseType="variant">
      <vt:variant>
        <vt:i4>6029407</vt:i4>
      </vt:variant>
      <vt:variant>
        <vt:i4>45</vt:i4>
      </vt:variant>
      <vt:variant>
        <vt:i4>0</vt:i4>
      </vt:variant>
      <vt:variant>
        <vt:i4>5</vt:i4>
      </vt:variant>
      <vt:variant>
        <vt:lpwstr>http://www.careconstruction.dk/menu2.html</vt:lpwstr>
      </vt:variant>
      <vt:variant>
        <vt:lpwstr/>
      </vt:variant>
      <vt:variant>
        <vt:i4>524359</vt:i4>
      </vt:variant>
      <vt:variant>
        <vt:i4>39</vt:i4>
      </vt:variant>
      <vt:variant>
        <vt:i4>0</vt:i4>
      </vt:variant>
      <vt:variant>
        <vt:i4>5</vt:i4>
      </vt:variant>
      <vt:variant>
        <vt:lpwstr>http://www.flisogskimmelsvampe.dk/gartnerforside.htm</vt:lpwstr>
      </vt:variant>
      <vt:variant>
        <vt:lpwstr/>
      </vt:variant>
      <vt:variant>
        <vt:i4>6422587</vt:i4>
      </vt:variant>
      <vt:variant>
        <vt:i4>36</vt:i4>
      </vt:variant>
      <vt:variant>
        <vt:i4>0</vt:i4>
      </vt:variant>
      <vt:variant>
        <vt:i4>5</vt:i4>
      </vt:variant>
      <vt:variant>
        <vt:lpwstr>http://e-pages.dk/nielsbo/10/99 se side 10</vt:lpwstr>
      </vt:variant>
      <vt:variant>
        <vt:lpwstr/>
      </vt:variant>
      <vt:variant>
        <vt:i4>6553657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http://www.youtube.com/watch?v=k22sO0s8R7w</vt:lpwstr>
      </vt:variant>
      <vt:variant>
        <vt:lpwstr/>
      </vt:variant>
      <vt:variant>
        <vt:i4>7471151</vt:i4>
      </vt:variant>
      <vt:variant>
        <vt:i4>30</vt:i4>
      </vt:variant>
      <vt:variant>
        <vt:i4>0</vt:i4>
      </vt:variant>
      <vt:variant>
        <vt:i4>5</vt:i4>
      </vt:variant>
      <vt:variant>
        <vt:lpwstr>http://www.dansand.com/search.aspx?keyword=katafalk</vt:lpwstr>
      </vt:variant>
      <vt:variant>
        <vt:lpwstr/>
      </vt:variant>
      <vt:variant>
        <vt:i4>1441864</vt:i4>
      </vt:variant>
      <vt:variant>
        <vt:i4>27</vt:i4>
      </vt:variant>
      <vt:variant>
        <vt:i4>0</vt:i4>
      </vt:variant>
      <vt:variant>
        <vt:i4>5</vt:i4>
      </vt:variant>
      <vt:variant>
        <vt:lpwstr>http://www.spangkilde.dk/</vt:lpwstr>
      </vt:variant>
      <vt:variant>
        <vt:lpwstr/>
      </vt:variant>
      <vt:variant>
        <vt:i4>5111822</vt:i4>
      </vt:variant>
      <vt:variant>
        <vt:i4>24</vt:i4>
      </vt:variant>
      <vt:variant>
        <vt:i4>0</vt:i4>
      </vt:variant>
      <vt:variant>
        <vt:i4>5</vt:i4>
      </vt:variant>
      <vt:variant>
        <vt:lpwstr>http://kortlink.dk/svenningsens/cx6g</vt:lpwstr>
      </vt:variant>
      <vt:variant>
        <vt:lpwstr/>
      </vt:variant>
      <vt:variant>
        <vt:i4>6946903</vt:i4>
      </vt:variant>
      <vt:variant>
        <vt:i4>21</vt:i4>
      </vt:variant>
      <vt:variant>
        <vt:i4>0</vt:i4>
      </vt:variant>
      <vt:variant>
        <vt:i4>5</vt:i4>
      </vt:variant>
      <vt:variant>
        <vt:lpwstr>http://www.aabybromaskinudlejning.dk/?page_id=1212</vt:lpwstr>
      </vt:variant>
      <vt:variant>
        <vt:lpwstr/>
      </vt:variant>
      <vt:variant>
        <vt:i4>5308435</vt:i4>
      </vt:variant>
      <vt:variant>
        <vt:i4>18</vt:i4>
      </vt:variant>
      <vt:variant>
        <vt:i4>0</vt:i4>
      </vt:variant>
      <vt:variant>
        <vt:i4>5</vt:i4>
      </vt:variant>
      <vt:variant>
        <vt:lpwstr>http://www.special-maskiner.com/html/spider_fjernstyret_rotorklipper.html</vt:lpwstr>
      </vt:variant>
      <vt:variant>
        <vt:lpwstr/>
      </vt:variant>
      <vt:variant>
        <vt:i4>1048664</vt:i4>
      </vt:variant>
      <vt:variant>
        <vt:i4>5</vt:i4>
      </vt:variant>
      <vt:variant>
        <vt:i4>0</vt:i4>
      </vt:variant>
      <vt:variant>
        <vt:i4>5</vt:i4>
      </vt:variant>
      <vt:variant>
        <vt:lpwstr>http://www.miljohuset.dk/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ARBEJDSMILJØETS HOVEDOMRÅDER</dc:title>
  <dc:subject/>
  <dc:creator>Ulrik Hauger</dc:creator>
  <cp:keywords/>
  <dc:description/>
  <cp:lastModifiedBy>Ulrik Hauger</cp:lastModifiedBy>
  <cp:revision>4</cp:revision>
  <cp:lastPrinted>2020-06-02T20:40:00Z</cp:lastPrinted>
  <dcterms:created xsi:type="dcterms:W3CDTF">2021-01-18T11:07:00Z</dcterms:created>
  <dcterms:modified xsi:type="dcterms:W3CDTF">2021-01-18T13:30:00Z</dcterms:modified>
</cp:coreProperties>
</file>